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341-s8_suncar.htm"/>
      <w:bookmarkStart w:id="1" w:name="ksea0303341s8_suncar"/>
      <w:bookmarkEnd w:id="0"/>
      <w:bookmarkEnd w:id="1"/>
      <w:r>
        <w:rPr/>
        <w:t>As filed with the Securities and Exchange Commission on September 1, 2026</w:t>
      </w:r>
    </w:p>
    <w:p>
      <w:pPr>
        <w:pStyle w:val="TextBody"/>
        <w:bidi w:val="0"/>
        <w:jc w:val="right"/>
        <w:rPr/>
      </w:pPr>
      <w:r>
        <w:rPr/>
        <w:t>Registration No.                    </w:t>
      </w:r>
    </w:p>
    <w:p>
      <w:pPr>
        <w:pStyle w:val="TextBody"/>
        <w:bidi w:val="0"/>
        <w:jc w:val="left"/>
        <w:rPr>
          <w:bdr w:val="single" w:sz="16" w:space="1" w:color="000000"/>
        </w:rPr>
      </w:pPr>
      <w:r>
        <w:rPr>
          <w:bdr w:val="single" w:sz="16" w:space="1" w:color="000000"/>
        </w:rPr>
        <w:t> </w:t>
      </w:r>
    </w:p>
    <w:p>
      <w:pPr>
        <w:pStyle w:val="TextBody"/>
        <w:bidi w:val="0"/>
        <w:jc w:val="center"/>
        <w:rPr>
          <w:position w:val="-2"/>
          <w:sz w:val="19"/>
        </w:rPr>
      </w:pPr>
      <w:r>
        <w:rPr>
          <w:position w:val="-2"/>
          <w:sz w:val="19"/>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STATEMENT</w:t>
        <w:br/>
        <w:t>UNDER</w:t>
        <w:b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Not Applicable</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Shanghai Feiyou Trading Co., Ltd.</w:t>
        <w:br/>
        <w:t>Suite 209, No. 656 Lingshi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Jing’an District, Shanghai, 200072</w:t>
        <w:br/>
        <w:t>People’s Republic of China</w:t>
        <w:br/>
        <w:t>Tel: (86) 138-1779-6110</w:t>
        <w:br/>
      </w: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Delaware 19711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+1 302-738-6680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Elizabeth Fei Chen, Esq.</w:t>
        <w:br/>
        <w:t>Pryor Cashman LLP</w:t>
        <w:br/>
        <w:t>7 Times Square</w:t>
        <w:br/>
        <w:t>New York, NY 10036</w:t>
        <w:br/>
        <w:t>Tel: 212-326-0199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left"/>
              <w:rPr>
                <w:sz w:val="20"/>
              </w:rPr>
            </w:pPr>
            <w:r>
              <w:rPr>
                <w:sz w:val="20"/>
              </w:rPr>
              <w:t>Large 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Accelerated filer ☒</w:t>
            </w:r>
          </w:p>
        </w:tc>
      </w:tr>
      <w:tr>
        <w:trPr/>
        <w:tc>
          <w:tcPr>
            <w:tcW w:w="2060" w:type="dxa"/>
            <w:tcBorders/>
            <w:vAlign w:val="center"/>
          </w:tcPr>
          <w:p>
            <w:pPr>
              <w:pStyle w:val="TableContents"/>
              <w:bidi w:val="0"/>
              <w:spacing w:before="0" w:after="283"/>
              <w:jc w:val="left"/>
              <w:rPr>
                <w:sz w:val="20"/>
              </w:rPr>
            </w:pPr>
            <w:r>
              <w:rPr>
                <w:sz w:val="20"/>
              </w:rPr>
              <w:t>Non-accelerated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Smaller reporting company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2160" w:right="0" w:hanging="135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2160" w:right="0" w:hanging="135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2160" w:right="0" w:hanging="135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board of directors of SunCar Technology Group Inc. (the “Registrant”) approved the Registrant’s 2024 Equity Incentive Plan (the “2024 Plan”). The 2024 Plan initially reserved an aggregate of 8,800,000 Class A ordinary shares of the Registrant, par value of $0.0001 per share (the “Ordinary Shares”), for issuance pursuant to awards granted thereunder. On August 21, 2026, the board of directors of the Registrant approved an increase of 5,000,000 Ordinary Shares in the maximum aggregate number of Ordinary Shares reserved and available for issuance under the 2024 Plan, from 8,800,000 Ordinary Shares to 13,800,000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Registration Statement on Form S-8 (this “Registration Statement”) is to register the additional 5,000,000 Ordinary Shares reserved and available for issuance under the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SECTION 10(a)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Information required by Part I to be contained in the Section 10(a) prospectus is omitted from this Registration Statement in accordance with Rule 428 under the Securities Act of 1933, as amended (the “Securities Act”) and the Note to Part I of Form S-8. The documents containing information specified in Part I will be separately provided to the participants covered by the 2024 Plan, as specified by Rule 428(b)(1)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by the Registrant with the Securities and Exchange Commission (the “Commission”) are incorporated by reference herein:</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The Registrant’s annual report on Form 20-F for its fiscal year ended December 31, 2025, filed with the Commission on April 28, 2026 (Commission File No. 001-41706);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All other reports filed by the Registrant pursuant to Section 13(a) or 15(d) of the Securities Exchange Act of 1934, as amended (the “Exchange Act”), since the end of the fiscal year covered by the Annual Report on Form 20-F referred to in (b) above (other than portions of those documents furnished or not otherwise deemed to be filed);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The description of the Registrant’s securities incorporated by reference in the Registrant’s registration statement on Form F-4 Commission File No. 333-269295) filed with the Commission on March 27, 2023, including any amendment and report subsequently filed for the purpose of updating that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Exchange Act, prior to the filing of a post-effective amendment that indicates that all securities offered hereby have been sold or that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in accordance with Commission rules shall not be deemed incorporated by reference into this Registration Statement.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amended, to constitute a part of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Interests of Named Experts and Counsel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Indemnification of Directors and Officers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second amended and restated memorandum and articles of association, adopted by its shareholders on May 16, 2023, provides that the Registrant shall indemnify and secure harmless against each of its directors and officers and their personal representatives (each, an “Indemnified Person”) against actions, proceedings, costs, charges, expenses, losses, damages or liabilities incurred or sustained by such Indemnified Person, other than by reason of such Indemnified Person’s own dishonesty, willful default or fraud, in or about the conduct of the Registrant’s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Registrant or its affairs in any court whether in the Cayman Islands or elsewhere.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Exemption From Registration Claimed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Index to Exhibits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bidi w:val="0"/>
        <w:spacing w:before="0" w:after="0"/>
        <w:ind w:left="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a)</w:t>
            </w:r>
          </w:p>
        </w:tc>
        <w:tc>
          <w:tcPr>
            <w:tcW w:w="3875"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20"/>
              </w:rPr>
            </w:pPr>
            <w:r>
              <w:rPr>
                <w:sz w:val="20"/>
              </w:rPr>
              <w:t>1)</w:t>
            </w:r>
          </w:p>
        </w:tc>
        <w:tc>
          <w:tcPr>
            <w:tcW w:w="9983"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4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i)</w:t>
            </w:r>
          </w:p>
        </w:tc>
        <w:tc>
          <w:tcPr>
            <w:tcW w:w="6185" w:type="dxa"/>
            <w:tcBorders/>
            <w:vAlign w:val="center"/>
          </w:tcPr>
          <w:p>
            <w:pPr>
              <w:pStyle w:val="TableContents"/>
              <w:bidi w:val="0"/>
              <w:spacing w:before="0" w:after="283"/>
              <w:jc w:val="both"/>
              <w:rPr>
                <w:sz w:val="20"/>
              </w:rPr>
            </w:pPr>
            <w:r>
              <w:rPr>
                <w:sz w:val="20"/>
              </w:rPr>
              <w:t>to include any prospectus required by Section 10(a)(3) of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both"/>
              <w:rPr>
                <w:sz w:val="20"/>
              </w:rPr>
            </w:pPr>
            <w:r>
              <w:rPr>
                <w:sz w:val="20"/>
              </w:rPr>
              <w:t>ii)</w:t>
            </w:r>
          </w:p>
        </w:tc>
        <w:tc>
          <w:tcPr>
            <w:tcW w:w="9967" w:type="dxa"/>
            <w:tcBorders/>
            <w:vAlign w:val="center"/>
          </w:tcPr>
          <w:p>
            <w:pPr>
              <w:pStyle w:val="TableContents"/>
              <w:bidi w:val="0"/>
              <w:spacing w:before="0" w:after="283"/>
              <w:jc w:val="both"/>
              <w:rPr>
                <w:sz w:val="20"/>
              </w:rPr>
            </w:pPr>
            <w:r>
              <w:rPr>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sz w:val="20"/>
              </w:rPr>
            </w:pPr>
            <w:r>
              <w:rPr>
                <w:sz w:val="20"/>
              </w:rPr>
              <w:t>iii)</w:t>
            </w:r>
          </w:p>
        </w:tc>
        <w:tc>
          <w:tcPr>
            <w:tcW w:w="9895"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that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both"/>
              <w:rPr>
                <w:sz w:val="20"/>
              </w:rPr>
            </w:pPr>
            <w:r>
              <w:rPr>
                <w:sz w:val="20"/>
              </w:rPr>
              <w:t>2)</w:t>
            </w:r>
          </w:p>
        </w:tc>
        <w:tc>
          <w:tcPr>
            <w:tcW w:w="9983" w:type="dxa"/>
            <w:tcBorders/>
            <w:vAlign w:val="center"/>
          </w:tcPr>
          <w:p>
            <w:pPr>
              <w:pStyle w:val="TableContents"/>
              <w:bidi w:val="0"/>
              <w:spacing w:before="0" w:after="283"/>
              <w:jc w:val="both"/>
              <w:rPr>
                <w:sz w:val="20"/>
              </w:rPr>
            </w:pPr>
            <w:r>
              <w:rPr>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both"/>
              <w:rPr>
                <w:sz w:val="20"/>
              </w:rPr>
            </w:pPr>
            <w:r>
              <w:rPr>
                <w:sz w:val="20"/>
              </w:rPr>
              <w:t>3)</w:t>
            </w:r>
          </w:p>
        </w:tc>
        <w:tc>
          <w:tcPr>
            <w:tcW w:w="996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20"/>
              </w:rPr>
            </w:pPr>
            <w:r>
              <w:rPr>
                <w:sz w:val="20"/>
              </w:rPr>
              <w:t>b)</w:t>
            </w:r>
          </w:p>
        </w:tc>
        <w:tc>
          <w:tcPr>
            <w:tcW w:w="10031" w:type="dxa"/>
            <w:tcBorders/>
            <w:vAlign w:val="center"/>
          </w:tcPr>
          <w:p>
            <w:pPr>
              <w:pStyle w:val="TableContents"/>
              <w:bidi w:val="0"/>
              <w:spacing w:before="0" w:after="283"/>
              <w:jc w:val="both"/>
              <w:rPr>
                <w:sz w:val="20"/>
              </w:rPr>
            </w:pPr>
            <w:r>
              <w:rPr>
                <w:sz w:val="20"/>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5"/>
        <w:gridCol w:w="10052"/>
      </w:tblGrid>
      <w:tr>
        <w:trPr/>
        <w:tc>
          <w:tcPr>
            <w:tcW w:w="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20"/>
              </w:rPr>
            </w:pPr>
            <w:r>
              <w:rPr>
                <w:sz w:val="20"/>
              </w:rPr>
              <w:t>c)</w:t>
            </w:r>
          </w:p>
        </w:tc>
        <w:tc>
          <w:tcPr>
            <w:tcW w:w="10052"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Specimen Ordinary Share Certificate of SunCar (incorporated by reference to Exhibit 4.8 of SunCar’s registration statement on Form F-4 (File No. 333-269295), filed with the SEC on March 27,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2024 Incentive Plan (File No. 333-278377), filed with the SEC on March 29, 2024).</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334101ex4-3.htm">
              <w:r>
                <w:rPr>
                  <w:rStyle w:val="InternetLink"/>
                  <w:rFonts w:ascii="Times New Roman;Times;Serif" w:hAnsi="Times New Roman;Times;Serif"/>
                  <w:sz w:val="20"/>
                </w:rPr>
                <w:t>Amendment No. 1 to the 2024 Incentive Plan.</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334101ex5-1.htm">
              <w:r>
                <w:rPr>
                  <w:rStyle w:val="InternetLink"/>
                  <w:rFonts w:ascii="Times New Roman;Times;Serif" w:hAnsi="Times New Roman;Times;Serif"/>
                  <w:sz w:val="20"/>
                </w:rPr>
                <w:t>Opinion of Maples and Calder (Hong Kong) LLP, Cayman Islands counsel to the Registrant.</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334101ex23-1.htm">
              <w:r>
                <w:rPr>
                  <w:rStyle w:val="InternetLink"/>
                  <w:rFonts w:ascii="Times New Roman;Times;Serif" w:hAnsi="Times New Roman;Times;Serif"/>
                  <w:sz w:val="20"/>
                </w:rPr>
                <w:t>Consent of Enrome LLP, an independent registered public accounting firm.</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334101ex5-1.htm">
              <w:r>
                <w:rPr>
                  <w:rStyle w:val="InternetLink"/>
                  <w:rFonts w:ascii="Times New Roman;Times;Serif" w:hAnsi="Times New Roman;Times;Serif"/>
                  <w:sz w:val="20"/>
                </w:rPr>
                <w:t>Consent of Maples of Calder (Hong Kong) LLP (included in Exhibit 5.1)</w:t>
              </w:r>
            </w:hyperlink>
            <w:hyperlink w:anchor="ea030334101ex5-1.htm">
              <w:r>
                <w:rPr>
                  <w:rStyle w:val="InternetLink"/>
                </w:rPr>
                <w:t>.</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poa">
              <w:r>
                <w:rPr>
                  <w:rStyle w:val="InternetLink"/>
                  <w:rFonts w:ascii="Times New Roman;Times;Serif" w:hAnsi="Times New Roman;Times;Serif"/>
                  <w:sz w:val="20"/>
                </w:rPr>
                <w:t>Power of Attorney (included on the signature page hereto).</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3341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Shanghai, China, on September 1, 2026.</w:t>
      </w:r>
    </w:p>
    <w:p>
      <w:pPr>
        <w:pStyle w:val="TextBody"/>
        <w:bidi w:val="0"/>
        <w:spacing w:before="0" w:after="0"/>
        <w:ind w:left="0" w:right="0" w:firstLine="72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320"/>
        <w:gridCol w:w="3005"/>
      </w:tblGrid>
      <w:tr>
        <w:trPr/>
        <w:tc>
          <w:tcPr>
            <w:tcW w:w="75" w:type="dxa"/>
            <w:tcBorders/>
            <w:vAlign w:val="center"/>
          </w:tcPr>
          <w:p>
            <w:pPr>
              <w:pStyle w:val="TableContents"/>
              <w:bidi w:val="0"/>
              <w:spacing w:before="0" w:after="283"/>
              <w:jc w:val="both"/>
              <w:rPr/>
            </w:pPr>
            <w:r>
              <w:rPr/>
              <w:t> </w:t>
            </w:r>
          </w:p>
        </w:tc>
        <w:tc>
          <w:tcPr>
            <w:tcW w:w="3325" w:type="dxa"/>
            <w:gridSpan w:val="2"/>
            <w:tcBorders/>
            <w:vAlign w:val="center"/>
          </w:tcPr>
          <w:p>
            <w:pPr>
              <w:pStyle w:val="TableContents"/>
              <w:bidi w:val="0"/>
              <w:spacing w:before="0" w:after="283"/>
              <w:jc w:val="both"/>
              <w:rPr>
                <w:b/>
                <w:sz w:val="20"/>
              </w:rPr>
            </w:pPr>
            <w:r>
              <w:rPr>
                <w:b/>
                <w:sz w:val="20"/>
              </w:rPr>
              <w:t>SunCar Technology Group Inc.</w:t>
            </w:r>
          </w:p>
        </w:tc>
      </w:tr>
      <w:tr>
        <w:trPr/>
        <w:tc>
          <w:tcPr>
            <w:tcW w:w="75" w:type="dxa"/>
            <w:tcBorders/>
            <w:vAlign w:val="center"/>
          </w:tcPr>
          <w:p>
            <w:pPr>
              <w:pStyle w:val="TableContents"/>
              <w:bidi w:val="0"/>
              <w:spacing w:before="0" w:after="283"/>
              <w:jc w:val="both"/>
              <w:rPr/>
            </w:pPr>
            <w:r>
              <w:rPr/>
              <w:t> </w:t>
            </w:r>
          </w:p>
        </w:tc>
        <w:tc>
          <w:tcPr>
            <w:tcW w:w="332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sz w:val="20"/>
              </w:rPr>
            </w:pPr>
            <w:r>
              <w:rPr>
                <w:sz w:val="20"/>
              </w:rPr>
              <w:t>By:</w:t>
            </w:r>
          </w:p>
        </w:tc>
        <w:tc>
          <w:tcPr>
            <w:tcW w:w="300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Zaichang Ye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20"/>
              </w:rPr>
            </w:pPr>
            <w:r>
              <w:rPr>
                <w:sz w:val="20"/>
              </w:rPr>
              <w:t>Zaichang Ye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appoints Zaichang Ye,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any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or their substitute or substitutes, may lawfully do or cause to be done by virtue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8730" w:type="dxa"/>
        <w:jc w:val="left"/>
        <w:tblInd w:w="0" w:type="dxa"/>
        <w:tblLayout w:type="fixed"/>
        <w:tblCellMar>
          <w:top w:w="0" w:type="dxa"/>
          <w:left w:w="0" w:type="dxa"/>
          <w:bottom w:w="28" w:type="dxa"/>
          <w:right w:w="0" w:type="dxa"/>
        </w:tblCellMar>
      </w:tblPr>
      <w:tblGrid>
        <w:gridCol w:w="1550"/>
        <w:gridCol w:w="60"/>
        <w:gridCol w:w="5180"/>
        <w:gridCol w:w="60"/>
        <w:gridCol w:w="1880"/>
      </w:tblGrid>
      <w:tr>
        <w:trPr/>
        <w:tc>
          <w:tcPr>
            <w:tcW w:w="1550" w:type="dxa"/>
            <w:tcBorders>
              <w:bottom w:val="single" w:sz="12" w:space="0" w:color="000000"/>
            </w:tcBorders>
            <w:vAlign w:val="center"/>
          </w:tcPr>
          <w:p>
            <w:pPr>
              <w:pStyle w:val="TableContents"/>
              <w:bidi w:val="0"/>
              <w:spacing w:before="0" w:after="283"/>
              <w:jc w:val="left"/>
              <w:rPr>
                <w:sz w:val="20"/>
              </w:rPr>
            </w:pPr>
            <w:r>
              <w:rPr>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5180" w:type="dxa"/>
            <w:tcBorders>
              <w:bottom w:val="single" w:sz="12" w:space="0" w:color="000000"/>
            </w:tcBorders>
            <w:vAlign w:val="center"/>
          </w:tcPr>
          <w:p>
            <w:pPr>
              <w:pStyle w:val="TableContents"/>
              <w:bidi w:val="0"/>
              <w:spacing w:before="0" w:after="283"/>
              <w:jc w:val="center"/>
              <w:rPr>
                <w:sz w:val="20"/>
              </w:rPr>
            </w:pPr>
            <w:r>
              <w:rPr>
                <w:sz w:val="20"/>
              </w:rPr>
              <w:t>Title</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sz w:val="20"/>
              </w:rPr>
            </w:pPr>
            <w:r>
              <w:rPr>
                <w:sz w:val="20"/>
              </w:rPr>
              <w:t>Date</w:t>
            </w:r>
          </w:p>
        </w:tc>
      </w:tr>
      <w:tr>
        <w:trPr/>
        <w:tc>
          <w:tcPr>
            <w:tcW w:w="15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Zaichang Ye</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Chief Executive Officer and Director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sz w:val="20"/>
              </w:rPr>
            </w:pPr>
            <w:r>
              <w:rPr>
                <w:sz w:val="20"/>
              </w:rPr>
              <w:t xml:space="preserve">September 1, 2026 </w:t>
            </w:r>
          </w:p>
        </w:tc>
      </w:tr>
      <w:tr>
        <w:trPr/>
        <w:tc>
          <w:tcPr>
            <w:tcW w:w="1550" w:type="dxa"/>
            <w:tcBorders/>
            <w:tcMar>
              <w:bottom w:w="0" w:type="dxa"/>
            </w:tcMar>
            <w:vAlign w:val="center"/>
          </w:tcPr>
          <w:p>
            <w:pPr>
              <w:pStyle w:val="TableContents"/>
              <w:bidi w:val="0"/>
              <w:spacing w:before="0" w:after="283"/>
              <w:jc w:val="left"/>
              <w:rPr>
                <w:sz w:val="20"/>
              </w:rPr>
            </w:pPr>
            <w:r>
              <w:rPr>
                <w:sz w:val="20"/>
              </w:rPr>
              <w:t>Zaichang Ye</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w:t>
            </w:r>
            <w:r>
              <w:rPr>
                <w:i/>
                <w:sz w:val="20"/>
              </w:rPr>
              <w:t>Principal Executive Officer</w:t>
            </w:r>
            <w:r>
              <w:rPr>
                <w:sz w:val="20"/>
              </w:rPr>
              <w:t>)</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Bohong Du</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 xml:space="preserve">Chief Financial Officer and Director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sz w:val="20"/>
              </w:rPr>
            </w:pPr>
            <w:r>
              <w:rPr>
                <w:sz w:val="20"/>
              </w:rPr>
              <w:t>September 1, 2026  </w:t>
            </w:r>
          </w:p>
        </w:tc>
      </w:tr>
      <w:tr>
        <w:trPr/>
        <w:tc>
          <w:tcPr>
            <w:tcW w:w="1550" w:type="dxa"/>
            <w:tcBorders/>
            <w:tcMar>
              <w:bottom w:w="0" w:type="dxa"/>
            </w:tcMar>
            <w:vAlign w:val="center"/>
          </w:tcPr>
          <w:p>
            <w:pPr>
              <w:pStyle w:val="TableContents"/>
              <w:bidi w:val="0"/>
              <w:spacing w:before="0" w:after="283"/>
              <w:jc w:val="left"/>
              <w:rPr>
                <w:sz w:val="20"/>
              </w:rPr>
            </w:pPr>
            <w:r>
              <w:rPr>
                <w:sz w:val="20"/>
              </w:rPr>
              <w:t>Bohong Du</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w:t>
            </w:r>
            <w:r>
              <w:rPr>
                <w:i/>
                <w:sz w:val="20"/>
              </w:rPr>
              <w:t>Principal Financial Officer and Principal Accounting Officer</w:t>
            </w:r>
            <w:r>
              <w:rPr>
                <w:sz w:val="20"/>
              </w:rPr>
              <w:t>)</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Zhunfu Lei</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 xml:space="preserve">Chief Technology Officer and Chief Operating Officer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sz w:val="20"/>
              </w:rPr>
            </w:pPr>
            <w:r>
              <w:rPr>
                <w:sz w:val="20"/>
              </w:rPr>
              <w:t>September 1, 2026  </w:t>
            </w:r>
          </w:p>
        </w:tc>
      </w:tr>
      <w:tr>
        <w:trPr/>
        <w:tc>
          <w:tcPr>
            <w:tcW w:w="1550" w:type="dxa"/>
            <w:tcBorders/>
            <w:tcMar>
              <w:bottom w:w="0" w:type="dxa"/>
            </w:tcMar>
            <w:vAlign w:val="center"/>
          </w:tcPr>
          <w:p>
            <w:pPr>
              <w:pStyle w:val="TableContents"/>
              <w:bidi w:val="0"/>
              <w:spacing w:before="0" w:after="283"/>
              <w:jc w:val="left"/>
              <w:rPr>
                <w:sz w:val="20"/>
              </w:rPr>
            </w:pPr>
            <w:r>
              <w:rPr>
                <w:sz w:val="20"/>
              </w:rPr>
              <w:t>Zhunfu Lei</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Breaux Walker</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Chief Strategy Officer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xml:space="preserve">September 1, 2026 </w:t>
            </w:r>
          </w:p>
        </w:tc>
      </w:tr>
      <w:tr>
        <w:trPr/>
        <w:tc>
          <w:tcPr>
            <w:tcW w:w="1550" w:type="dxa"/>
            <w:tcBorders/>
            <w:tcMar>
              <w:bottom w:w="0" w:type="dxa"/>
            </w:tcMar>
            <w:vAlign w:val="center"/>
          </w:tcPr>
          <w:p>
            <w:pPr>
              <w:pStyle w:val="TableContents"/>
              <w:bidi w:val="0"/>
              <w:spacing w:before="0" w:after="283"/>
              <w:jc w:val="left"/>
              <w:rPr>
                <w:sz w:val="20"/>
              </w:rPr>
            </w:pPr>
            <w:r>
              <w:rPr>
                <w:sz w:val="20"/>
              </w:rPr>
              <w:t>Breaux Walker</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Saiye Gu</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 xml:space="preserve">Vice President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September 1, 2026</w:t>
            </w:r>
          </w:p>
        </w:tc>
      </w:tr>
      <w:tr>
        <w:trPr/>
        <w:tc>
          <w:tcPr>
            <w:tcW w:w="1550" w:type="dxa"/>
            <w:tcBorders/>
            <w:tcMar>
              <w:bottom w:w="0" w:type="dxa"/>
            </w:tcMar>
            <w:vAlign w:val="center"/>
          </w:tcPr>
          <w:p>
            <w:pPr>
              <w:pStyle w:val="TableContents"/>
              <w:bidi w:val="0"/>
              <w:spacing w:before="0" w:after="283"/>
              <w:jc w:val="left"/>
              <w:rPr>
                <w:sz w:val="20"/>
              </w:rPr>
            </w:pPr>
            <w:r>
              <w:rPr>
                <w:sz w:val="20"/>
              </w:rPr>
              <w:t>Saiye Gu</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Yizhi Qian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Vice President</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sz w:val="20"/>
              </w:rPr>
            </w:pPr>
            <w:r>
              <w:rPr>
                <w:sz w:val="20"/>
              </w:rPr>
              <w:t xml:space="preserve">September 1, 2026 </w:t>
            </w:r>
          </w:p>
        </w:tc>
      </w:tr>
      <w:tr>
        <w:trPr/>
        <w:tc>
          <w:tcPr>
            <w:tcW w:w="1550" w:type="dxa"/>
            <w:tcBorders/>
            <w:tcMar>
              <w:bottom w:w="0" w:type="dxa"/>
            </w:tcMar>
            <w:vAlign w:val="center"/>
          </w:tcPr>
          <w:p>
            <w:pPr>
              <w:pStyle w:val="TableContents"/>
              <w:bidi w:val="0"/>
              <w:spacing w:before="0" w:after="283"/>
              <w:jc w:val="left"/>
              <w:rPr>
                <w:sz w:val="20"/>
              </w:rPr>
            </w:pPr>
            <w:r>
              <w:rPr>
                <w:sz w:val="20"/>
              </w:rPr>
              <w:t>Yizhi Qian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Yongsheng Liu</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sz w:val="20"/>
              </w:rPr>
            </w:pPr>
            <w:r>
              <w:rPr>
                <w:sz w:val="20"/>
              </w:rPr>
              <w:t xml:space="preserve">September 1, 2026 </w:t>
            </w:r>
          </w:p>
        </w:tc>
      </w:tr>
      <w:tr>
        <w:trPr/>
        <w:tc>
          <w:tcPr>
            <w:tcW w:w="1550" w:type="dxa"/>
            <w:tcBorders/>
            <w:tcMar>
              <w:bottom w:w="0" w:type="dxa"/>
            </w:tcMar>
            <w:vAlign w:val="center"/>
          </w:tcPr>
          <w:p>
            <w:pPr>
              <w:pStyle w:val="TableContents"/>
              <w:bidi w:val="0"/>
              <w:spacing w:before="0" w:after="283"/>
              <w:jc w:val="left"/>
              <w:rPr>
                <w:sz w:val="20"/>
              </w:rPr>
            </w:pPr>
            <w:r>
              <w:rPr>
                <w:sz w:val="20"/>
              </w:rPr>
              <w:t>Yongsheng Liu</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Haidong Zhang</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sz w:val="20"/>
              </w:rPr>
            </w:pPr>
            <w:r>
              <w:rPr>
                <w:sz w:val="20"/>
              </w:rPr>
              <w:t>September 1, 2026</w:t>
            </w:r>
          </w:p>
        </w:tc>
      </w:tr>
      <w:tr>
        <w:trPr/>
        <w:tc>
          <w:tcPr>
            <w:tcW w:w="1550" w:type="dxa"/>
            <w:tcBorders/>
            <w:tcMar>
              <w:bottom w:w="0" w:type="dxa"/>
            </w:tcMar>
            <w:vAlign w:val="center"/>
          </w:tcPr>
          <w:p>
            <w:pPr>
              <w:pStyle w:val="TableContents"/>
              <w:bidi w:val="0"/>
              <w:spacing w:before="0" w:after="283"/>
              <w:jc w:val="left"/>
              <w:rPr>
                <w:sz w:val="20"/>
              </w:rPr>
            </w:pPr>
            <w:r>
              <w:rPr>
                <w:sz w:val="20"/>
              </w:rPr>
              <w:t>Haidong Zhang</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r>
        <w:trPr/>
        <w:tc>
          <w:tcPr>
            <w:tcW w:w="1550" w:type="dxa"/>
            <w:tcBorders>
              <w:bottom w:val="single" w:sz="12" w:space="0" w:color="000000"/>
            </w:tcBorders>
            <w:vAlign w:val="center"/>
          </w:tcPr>
          <w:p>
            <w:pPr>
              <w:pStyle w:val="TableContents"/>
              <w:bidi w:val="0"/>
              <w:spacing w:before="0" w:after="283"/>
              <w:jc w:val="left"/>
              <w:rPr>
                <w:sz w:val="20"/>
              </w:rPr>
            </w:pPr>
            <w:r>
              <w:rPr>
                <w:sz w:val="20"/>
              </w:rPr>
              <w:t>/s/ Lin Bao</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sz w:val="20"/>
              </w:rPr>
            </w:pPr>
            <w:r>
              <w:rPr>
                <w:sz w:val="20"/>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sz w:val="20"/>
              </w:rPr>
            </w:pPr>
            <w:r>
              <w:rPr>
                <w:sz w:val="20"/>
              </w:rPr>
              <w:t xml:space="preserve">September 1, 2026 </w:t>
            </w:r>
          </w:p>
        </w:tc>
      </w:tr>
      <w:tr>
        <w:trPr/>
        <w:tc>
          <w:tcPr>
            <w:tcW w:w="1550" w:type="dxa"/>
            <w:tcBorders/>
            <w:tcMar>
              <w:bottom w:w="0" w:type="dxa"/>
            </w:tcMar>
            <w:vAlign w:val="center"/>
          </w:tcPr>
          <w:p>
            <w:pPr>
              <w:pStyle w:val="TableContents"/>
              <w:bidi w:val="0"/>
              <w:spacing w:before="0" w:after="283"/>
              <w:jc w:val="left"/>
              <w:rPr>
                <w:sz w:val="20"/>
              </w:rPr>
            </w:pPr>
            <w:r>
              <w:rPr>
                <w:sz w:val="20"/>
              </w:rPr>
              <w:t>Lin Bao</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AUTHORIZED REPRESENTATIVE IN THE UNITED STATES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the undersigned, the duly authorized representative in the United States of SunCar Technology Group Inc. has signed this registration statement or amendment thereto in Newark, Delaware on September 1, 2026.</w:t>
      </w:r>
    </w:p>
    <w:p>
      <w:pPr>
        <w:pStyle w:val="TextBody"/>
        <w:bidi w:val="0"/>
        <w:spacing w:before="0" w:after="0"/>
        <w:ind w:left="0" w:right="0" w:hanging="0"/>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75"/>
        <w:gridCol w:w="341"/>
        <w:gridCol w:w="630"/>
        <w:gridCol w:w="1687"/>
      </w:tblGrid>
      <w:tr>
        <w:trPr/>
        <w:tc>
          <w:tcPr>
            <w:tcW w:w="75" w:type="dxa"/>
            <w:tcBorders/>
            <w:vAlign w:val="center"/>
          </w:tcPr>
          <w:p>
            <w:pPr>
              <w:pStyle w:val="TableContents"/>
              <w:bidi w:val="0"/>
              <w:spacing w:before="0" w:after="283"/>
              <w:jc w:val="left"/>
              <w:rPr/>
            </w:pPr>
            <w:r>
              <w:rPr/>
              <w:t> </w:t>
            </w:r>
          </w:p>
        </w:tc>
        <w:tc>
          <w:tcPr>
            <w:tcW w:w="2658" w:type="dxa"/>
            <w:gridSpan w:val="3"/>
            <w:tcBorders/>
            <w:vAlign w:val="center"/>
          </w:tcPr>
          <w:p>
            <w:pPr>
              <w:pStyle w:val="TableContents"/>
              <w:bidi w:val="0"/>
              <w:spacing w:before="0" w:after="283"/>
              <w:jc w:val="left"/>
              <w:rPr>
                <w:b/>
                <w:sz w:val="20"/>
              </w:rPr>
            </w:pPr>
            <w:r>
              <w:rPr>
                <w:b/>
                <w:sz w:val="20"/>
              </w:rPr>
              <w:t>Authorized U.S. Representative</w:t>
            </w:r>
          </w:p>
        </w:tc>
      </w:tr>
      <w:tr>
        <w:trPr/>
        <w:tc>
          <w:tcPr>
            <w:tcW w:w="75" w:type="dxa"/>
            <w:tcBorders/>
            <w:vAlign w:val="center"/>
          </w:tcPr>
          <w:p>
            <w:pPr>
              <w:pStyle w:val="TableContents"/>
              <w:bidi w:val="0"/>
              <w:spacing w:before="0" w:after="283"/>
              <w:jc w:val="left"/>
              <w:rPr/>
            </w:pPr>
            <w:r>
              <w:rPr/>
              <w:t> </w:t>
            </w:r>
          </w:p>
        </w:tc>
        <w:tc>
          <w:tcPr>
            <w:tcW w:w="26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sz w:val="20"/>
              </w:rPr>
            </w:pPr>
            <w:r>
              <w:rPr>
                <w:sz w:val="20"/>
              </w:rPr>
              <w:t>By:</w:t>
            </w:r>
          </w:p>
        </w:tc>
        <w:tc>
          <w:tcPr>
            <w:tcW w:w="2317"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Donald J. Puglisi</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sz w:val="20"/>
              </w:rPr>
            </w:pPr>
            <w:r>
              <w:rPr>
                <w:sz w:val="20"/>
              </w:rPr>
              <w:t xml:space="preserve">Name: </w:t>
            </w:r>
          </w:p>
        </w:tc>
        <w:tc>
          <w:tcPr>
            <w:tcW w:w="1687" w:type="dxa"/>
            <w:tcBorders/>
            <w:vAlign w:val="center"/>
          </w:tcPr>
          <w:p>
            <w:pPr>
              <w:pStyle w:val="TableContents"/>
              <w:bidi w:val="0"/>
              <w:spacing w:before="0" w:after="283"/>
              <w:jc w:val="left"/>
              <w:rPr>
                <w:sz w:val="20"/>
              </w:rPr>
            </w:pPr>
            <w:r>
              <w:rPr>
                <w:sz w:val="20"/>
              </w:rPr>
              <w:t>Donald J. Puglisi</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sz w:val="20"/>
              </w:rPr>
            </w:pPr>
            <w:r>
              <w:rPr>
                <w:sz w:val="20"/>
              </w:rPr>
              <w:t xml:space="preserve">Title: </w:t>
            </w:r>
          </w:p>
        </w:tc>
        <w:tc>
          <w:tcPr>
            <w:tcW w:w="1687"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 w:name="ea030334101ex4-3.htm"/>
      <w:bookmarkStart w:id="4" w:name="ksea030334101ex43"/>
      <w:bookmarkEnd w:id="3"/>
      <w:bookmarkEnd w:id="4"/>
      <w:r>
        <w:rPr>
          <w:b/>
        </w:rPr>
        <w:t>Exhibit 4.3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AMENDMENT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Suncar Technology Group Inc. 2024 Equity Incentive Plan, effective as of March 28, 2024 (the “</w:t>
      </w:r>
      <w:r>
        <w:rPr>
          <w:rFonts w:ascii="Times New Roman;Times;Serif" w:hAnsi="Times New Roman;Times;Serif"/>
          <w:b w:val="false"/>
          <w:i w:val="false"/>
          <w:caps w:val="false"/>
          <w:smallCaps w:val="false"/>
          <w:sz w:val="20"/>
          <w:u w:val="single"/>
        </w:rPr>
        <w:t>Incentive Plan</w:t>
      </w:r>
      <w:r>
        <w:rPr>
          <w:rFonts w:ascii="Times New Roman;Times;Serif" w:hAnsi="Times New Roman;Times;Serif"/>
          <w:b w:val="false"/>
          <w:i w:val="false"/>
          <w:caps w:val="false"/>
          <w:smallCaps w:val="false"/>
          <w:sz w:val="20"/>
        </w:rPr>
        <w:t>”), is hereby amended as of August 21, 2026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Suncar Technology Group Inc.,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maintains the Incentive Plan, which was previously adopted by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approved by the shareholders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the Incentive Plan, the maximum aggregate number of Class A ordinary shares of the Company, par value $0.0001 per share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that may be issued pursuant to awards granted under the Plan is 8,800,000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8,800,000 Ordinary Shares currently reserved for issuance under the Incentive Plan have been allocated or otherwise utilized;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has determined that it is in the best interests of the Company to amend the Incentive Plan, effective immediately, to increase the aggregate number of Ordinary Shares reserved and available for issuance thereunder by 5 million shares from 8.8 million shares to 13.8 shares in order to accommodate the Company’s anticipated future equity compensation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of the Incentive Plan provides that the Board may amend the Incentive Plan at any time, subject to certain conditions set forth therein;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this amendment (the “</w:t>
      </w:r>
      <w:r>
        <w:rPr>
          <w:rFonts w:ascii="Times New Roman;Times;Serif" w:hAnsi="Times New Roman;Times;Serif"/>
          <w:b w:val="false"/>
          <w:i w:val="false"/>
          <w:caps w:val="false"/>
          <w:smallCaps w:val="false"/>
          <w:sz w:val="20"/>
          <w:u w:val="single"/>
        </w:rPr>
        <w:t>First Amendment</w:t>
      </w:r>
      <w:r>
        <w:rPr>
          <w:rFonts w:ascii="Times New Roman;Times;Serif" w:hAnsi="Times New Roman;Times;Serif"/>
          <w:b w:val="false"/>
          <w:i w:val="false"/>
          <w:caps w:val="false"/>
          <w:smallCaps w:val="false"/>
          <w:sz w:val="20"/>
        </w:rPr>
        <w:t>”) will become effective upon approval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Incentive Plan is hereby amended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1.</w:t>
            </w:r>
          </w:p>
        </w:tc>
        <w:tc>
          <w:tcPr>
            <w:tcW w:w="9990" w:type="dxa"/>
            <w:tcBorders/>
            <w:vAlign w:val="center"/>
          </w:tcPr>
          <w:p>
            <w:pPr>
              <w:pStyle w:val="TableContents"/>
              <w:bidi w:val="0"/>
              <w:spacing w:before="0" w:after="283"/>
              <w:jc w:val="both"/>
              <w:rPr/>
            </w:pPr>
            <w:r>
              <w:rPr/>
              <w:t>The first sentence of </w:t>
            </w:r>
            <w:r>
              <w:rPr>
                <w:u w:val="single"/>
              </w:rPr>
              <w:t>Section 4.1</w:t>
            </w:r>
            <w:r>
              <w:rPr/>
              <w:t> of the Incentive Plan shall be deleted in its entirety and replaced with the following: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xml:space="preserve">. Subject to adjustment under Article VIII and the terms of this Article IV, no more than </w:t>
      </w:r>
      <w:r>
        <w:rPr>
          <w:rFonts w:ascii="Times New Roman;Times;Serif" w:hAnsi="Times New Roman;Times;Serif"/>
          <w:b/>
          <w:i w:val="false"/>
          <w:caps w:val="false"/>
          <w:smallCaps w:val="false"/>
          <w:sz w:val="20"/>
        </w:rPr>
        <w:t>13,800,000</w:t>
      </w:r>
      <w:r>
        <w:rPr>
          <w:rFonts w:ascii="Times New Roman;Times;Serif" w:hAnsi="Times New Roman;Times;Serif"/>
          <w:b w:val="false"/>
          <w:i w:val="false"/>
          <w:caps w:val="false"/>
          <w:smallCaps w:val="false"/>
          <w:sz w:val="20"/>
        </w:rPr>
        <w:t xml:space="preserve"> shares of Common Stock shall be available for the grant of Awards under the Plan (the “</w:t>
      </w:r>
      <w:r>
        <w:rPr>
          <w:rFonts w:ascii="Times New Roman;Times;Serif" w:hAnsi="Times New Roman;Times;Serif"/>
          <w:b/>
          <w:i/>
          <w:caps w:val="false"/>
          <w:smallCaps w:val="false"/>
          <w:sz w:val="20"/>
        </w:rPr>
        <w:t>Overall Share Limit</w:t>
      </w:r>
      <w:r>
        <w:rPr>
          <w:rFonts w:ascii="Times New Roman;Times;Serif" w:hAnsi="Times New Roman;Times;Serif"/>
          <w:b w:val="false"/>
          <w:i w:val="false"/>
          <w:caps w:val="false"/>
          <w:smallCaps w:val="false"/>
          <w:sz w:val="20"/>
        </w:rPr>
        <w:t>”). Shares issued under the Plan may consist of authorized but unissued Shares, Shares purchased on the open market or treasury Shares.”</w:t>
      </w:r>
    </w:p>
    <w:p>
      <w:pPr>
        <w:pStyle w:val="TextBody"/>
        <w:bidi w:val="0"/>
        <w:spacing w:before="0" w:after="0"/>
        <w:ind w:left="144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20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8510" w:type="dxa"/>
            <w:tcBorders/>
            <w:vAlign w:val="center"/>
          </w:tcPr>
          <w:p>
            <w:pPr>
              <w:pStyle w:val="TableContents"/>
              <w:bidi w:val="0"/>
              <w:spacing w:before="0" w:after="283"/>
              <w:jc w:val="both"/>
              <w:rPr/>
            </w:pPr>
            <w:r>
              <w:rPr/>
              <w:t>Except as set forth above, the Incentive Plan is hereby ratified and affirmed in all respects.</w:t>
            </w:r>
          </w:p>
        </w:tc>
      </w:tr>
    </w:tbl>
    <w:p>
      <w:pPr>
        <w:pStyle w:val="TextBody"/>
        <w:bidi w:val="0"/>
        <w:spacing w:before="0" w:after="0"/>
        <w:ind w:left="359" w:right="0" w:hanging="359"/>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Zaichang Ye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Zaichang Ye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334101ex5-1.htm"/>
      <w:bookmarkStart w:id="6" w:name="ksea030334101ex51"/>
      <w:bookmarkEnd w:id="5"/>
      <w:bookmarkEnd w:id="6"/>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9144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914400"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440"/>
        <w:gridCol w:w="3365"/>
      </w:tblGrid>
      <w:tr>
        <w:trPr/>
        <w:tc>
          <w:tcPr>
            <w:tcW w:w="440" w:type="dxa"/>
            <w:tcBorders/>
            <w:vAlign w:val="center"/>
          </w:tcPr>
          <w:p>
            <w:pPr>
              <w:pStyle w:val="TableContents"/>
              <w:bidi w:val="0"/>
              <w:spacing w:before="0" w:after="283"/>
              <w:jc w:val="left"/>
              <w:rPr/>
            </w:pPr>
            <w:r>
              <w:rPr/>
              <w:t>Ref:</w:t>
            </w:r>
          </w:p>
        </w:tc>
        <w:tc>
          <w:tcPr>
            <w:tcW w:w="3365" w:type="dxa"/>
            <w:tcBorders/>
            <w:vAlign w:val="center"/>
          </w:tcPr>
          <w:p>
            <w:pPr>
              <w:pStyle w:val="TableContents"/>
              <w:bidi w:val="0"/>
              <w:spacing w:before="0" w:after="283"/>
              <w:jc w:val="both"/>
              <w:rPr/>
            </w:pPr>
            <w:r>
              <w:rPr/>
              <w:t>SQG/833993-000001/87343175v1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SunCar Technology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Feiyou Trading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209, No. 656 Lingshi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Jing’an District, Shanghai, 200072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counsel to the Company in connection with a registration statement on Form S-8 to be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September 1,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relating to the registration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5,000,000 Class A ordinary shares of par value of US$0.0001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issuable by the Company pursuant to the Company’s 2024 Equity Incentive Plan adopted by the board of directors of the Company on 28 March 2024 and amended on 21 August 2026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copies of the Registration Statement and the Plan. We have also reviewed copies of the second amended and restated memorandum and articles of association of the Company adopted by a special resolution of the Company passed on 16 May 2023 and effective upon the effective date of the merger between the Company and Goldenbridge Acquisition Limited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 and the written resolutions of the board of directors of the Company dated 21 August 2026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assumptions and qualifications set out below, and having regard to such legal considerations as we deem relevant, we are of the opinion that: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The Shares to be issued by the Company and registered under the Registration Statement have been duly and validly authorized.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2.</w:t>
            </w:r>
          </w:p>
        </w:tc>
        <w:tc>
          <w:tcPr>
            <w:tcW w:w="10029" w:type="dxa"/>
            <w:tcBorders/>
            <w:vAlign w:val="center"/>
          </w:tcPr>
          <w:p>
            <w:pPr>
              <w:pStyle w:val="TableContents"/>
              <w:bidi w:val="0"/>
              <w:spacing w:before="0" w:after="283"/>
              <w:jc w:val="both"/>
              <w:rPr/>
            </w:pPr>
            <w:r>
              <w:rPr/>
              <w:t>When issued and paid for in accordance with the terms of the Plan and in accordance with the Resolutions, and when appropriate entries are made in the register of members (shareholders) of the Company, the Shares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opinions are subject to the qualification that under the Companies Act (As Revised) of the Cayman Islands (the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xml:space="preserve">”), the register of members of a Cayman Islands company is by statute regarded as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and have not been amended, varied or revoked in any respect, (f) there is nothing under any law (other than the laws of the Cayman Islands) which would or might affect the opinions set out above, and (g) upon the issue of any Shares, the Company will receive consideration which shall be equal to at least the par value of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ea030334101ex23-1.htm"/>
      <w:bookmarkStart w:id="8" w:name="ksea030334101ex231"/>
      <w:bookmarkEnd w:id="7"/>
      <w:bookmarkEnd w:id="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162175" cy="3905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audit report dated April 28, 2026 relating to the consolidated financial statements of SunCar Technology Group Inc. and its subsidiaries, as of December 31, 2025 and 2024 and for the years ended December 31, 2025, 2024 and 2023, appearing in the Annual Report on Form 20-F of SunCar Technology Group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Enrome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160"/>
        <w:gridCol w:w="2660"/>
        <w:gridCol w:w="2255"/>
      </w:tblGrid>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Enrome LLP</w:t>
            </w:r>
          </w:p>
        </w:tc>
        <w:tc>
          <w:tcPr>
            <w:tcW w:w="26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Cecil Street #19-03/04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 Building, Singapore 069542</w:t>
            </w:r>
          </w:p>
        </w:tc>
        <w:tc>
          <w:tcPr>
            <w:tcW w:w="22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admin@enrome-group.com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www.enrome-group.com</w:t>
            </w:r>
          </w:p>
        </w:tc>
      </w:tr>
    </w:tbl>
    <w:p>
      <w:pPr>
        <w:pStyle w:val="TextBody"/>
        <w:bidi w:val="0"/>
        <w:spacing w:before="0" w:after="240"/>
        <w:jc w:val="right"/>
        <w:rPr>
          <w:rFonts w:ascii="Times New Roman;Times;Serif" w:hAnsi="Times New Roman;Times;Serif"/>
          <w:b/>
          <w:i w:val="false"/>
          <w:caps w:val="false"/>
          <w:smallCaps w:val="false"/>
          <w:sz w:val="24"/>
        </w:rPr>
      </w:pPr>
      <w:bookmarkStart w:id="9" w:name="ea030334101ex-fee.htm"/>
      <w:bookmarkStart w:id="10" w:name="ksea0303341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SunCar Technology Group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1"/>
        <w:gridCol w:w="60"/>
        <w:gridCol w:w="1111"/>
        <w:gridCol w:w="60"/>
        <w:gridCol w:w="575"/>
        <w:gridCol w:w="60"/>
        <w:gridCol w:w="1126"/>
        <w:gridCol w:w="60"/>
        <w:gridCol w:w="1080"/>
        <w:gridCol w:w="60"/>
        <w:gridCol w:w="189"/>
        <w:gridCol w:w="924"/>
        <w:gridCol w:w="60"/>
        <w:gridCol w:w="153"/>
        <w:gridCol w:w="1400"/>
        <w:gridCol w:w="60"/>
        <w:gridCol w:w="1040"/>
        <w:gridCol w:w="60"/>
        <w:gridCol w:w="213"/>
        <w:gridCol w:w="1063"/>
      </w:tblGrid>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1"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11"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8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1"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Class A ordinary shares, par value US$0.0001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0.6650</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3,325,000.00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459.18</w:t>
            </w:r>
          </w:p>
        </w:tc>
      </w:tr>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56"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3,325,000.00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459.18</w:t>
            </w:r>
          </w:p>
        </w:tc>
      </w:tr>
      <w:tr>
        <w:trPr/>
        <w:tc>
          <w:tcPr>
            <w:tcW w:w="6156"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156"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063" w:type="dxa"/>
            <w:tcBorders>
              <w:bottom w:val="double" w:sz="8" w:space="0" w:color="000000"/>
            </w:tcBorders>
            <w:tcMar>
              <w:bottom w:w="28" w:type="dxa"/>
            </w:tcMar>
            <w:vAlign w:val="center"/>
          </w:tcPr>
          <w:p>
            <w:pPr>
              <w:pStyle w:val="TableContents"/>
              <w:bidi w:val="0"/>
              <w:spacing w:before="0" w:after="283"/>
              <w:jc w:val="right"/>
              <w:rPr/>
            </w:pPr>
            <w:r>
              <w:rPr/>
              <w:t>459.18</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Represents Class A ordinary shares underlying awards reserved for future grants under the 2024 Equity Incentive Plan (as amended, the “Plan”). Pursuant to 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Plan. Any Class A ordinary shares covered by an award granted under the Plan that terminates, expires, or lapses for any reason will be deemed not to have been issued for purposes of determining the maximum aggregate number of Class A ordinary shares that may be issued under the Plan.</w:t>
              <w:br/>
              <w:br/>
              <w:t>These Class A ordinary shares are reserved for future award grants under the Plan and represent the additional 5,000,000 Class A ordinary shares reserved and available for issuance under the Plan. The proposed maximum offering price per share, estimated solely for purposes of calculating the registration fee pursuant to Rules 457(c) and 457(h) under the Securities Act, is based on the average of the high and low prices of the Registrant’s Class A ordinary shares as quoted on the Nasdaq Capital Market on August 28,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6804/000149315223007086/ex4-8.htm" TargetMode="External"/><Relationship Id="rId3" Type="http://schemas.openxmlformats.org/officeDocument/2006/relationships/hyperlink" Target="https://www.sec.gov/Archives/edgar/data/1936804/000121390024027969/ea020285901ex10-1_suncartech.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3856</Words>
  <Characters>20701</Characters>
  <CharactersWithSpaces>24726</CharactersWithSpaces>
  <Paragraphs>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