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146050</wp:posOffset>
            </wp:positionV>
            <wp:extent cx="715518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1460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174625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7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FORM 6-K</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PURSUANT TO RULE 13a-16 OR 15d-16 UNDER THE</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7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For the month of December 2025</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Commission File Number: 001-41247</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SunCar Technology Group Inc.</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(Translation of registrant’s name into English)</w:t>
      </w:r>
    </w:p>
    <w:p>
      <w:pPr>
        <w:spacing w:after="0" w:line="17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c/o Shanghai Feiyou Trading Co., Ltd.</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Suite 209, No. 656 Lingshi Road</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Jing’an District, Shanghai, 200072</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People’s Republic of China</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Tel: (86) 138-1779-6110</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color w:val="auto"/>
        </w:rPr>
        <w:t>(Address of principal executive office)</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55" w:lineRule="exact"/>
        <w:rPr>
          <w:sz w:val="24"/>
          <w:szCs w:val="24"/>
          <w:color w:val="auto"/>
        </w:rPr>
      </w:pPr>
    </w:p>
    <w:p>
      <w:pPr>
        <w:ind w:left="4760"/>
        <w:spacing w:after="0" w:line="173" w:lineRule="exact"/>
        <w:rPr>
          <w:sz w:val="20"/>
          <w:szCs w:val="20"/>
          <w:color w:val="auto"/>
        </w:rPr>
      </w:pPr>
      <w:r>
        <w:rPr>
          <w:rFonts w:ascii="Times New Roman" w:cs="Times New Roman" w:eastAsia="Times New Roman" w:hAnsi="Times New Roman"/>
          <w:sz w:val="15"/>
          <w:szCs w:val="15"/>
          <w:color w:val="auto"/>
        </w:rPr>
        <w:t xml:space="preserve">Form 20-F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171450</wp:posOffset>
            </wp:positionV>
            <wp:extent cx="715518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146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528955</wp:posOffset>
            </wp:positionV>
            <wp:extent cx="715518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140" w:type="dxa"/>
            <w:vAlign w:val="bottom"/>
            <w:gridSpan w:val="9"/>
          </w:tcPr>
          <w:p>
            <w:pPr>
              <w:spacing w:after="0"/>
              <w:rPr>
                <w:sz w:val="20"/>
                <w:szCs w:val="20"/>
                <w:color w:val="auto"/>
              </w:rPr>
            </w:pPr>
            <w:r>
              <w:rPr>
                <w:rFonts w:ascii="Times New Roman" w:cs="Times New Roman" w:eastAsia="Times New Roman" w:hAnsi="Times New Roman"/>
                <w:sz w:val="15"/>
                <w:szCs w:val="15"/>
                <w:b w:val="1"/>
                <w:bCs w:val="1"/>
                <w:color w:val="auto"/>
              </w:rPr>
              <w:t>CONTENTS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PAGE(S)</w:t>
            </w:r>
          </w:p>
        </w:tc>
      </w:tr>
      <w:tr>
        <w:trPr>
          <w:trHeight w:val="180"/>
        </w:trPr>
        <w:tc>
          <w:tcPr>
            <w:tcW w:w="12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60"/>
        </w:trPr>
        <w:tc>
          <w:tcPr>
            <w:tcW w:w="10140" w:type="dxa"/>
            <w:vAlign w:val="bottom"/>
            <w:gridSpan w:val="9"/>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rPr>
              <w:t>CONDENSED CONSOLIDATED BALANCE SHEETS AS OF DECEMBER 31, 2024 AND SEPTEMBER 30, 2025 (UNAUDITED)</w:t>
            </w: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w w:val="95"/>
              </w:rPr>
              <w:t>F-2</w:t>
            </w:r>
          </w:p>
        </w:tc>
      </w:tr>
      <w:tr>
        <w:trPr>
          <w:trHeight w:val="180"/>
        </w:trPr>
        <w:tc>
          <w:tcPr>
            <w:tcW w:w="12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tcPr>
          <w:p>
            <w:pPr>
              <w:spacing w:after="0"/>
              <w:rPr>
                <w:sz w:val="15"/>
                <w:szCs w:val="15"/>
                <w:color w:val="auto"/>
              </w:rPr>
            </w:pPr>
          </w:p>
        </w:tc>
        <w:tc>
          <w:tcPr>
            <w:tcW w:w="3340" w:type="dxa"/>
            <w:vAlign w:val="bottom"/>
            <w:tcBorders>
              <w:top w:val="single" w:sz="8" w:color="0000EE"/>
            </w:tcBorders>
          </w:tcPr>
          <w:p>
            <w:pPr>
              <w:spacing w:after="0"/>
              <w:rPr>
                <w:sz w:val="15"/>
                <w:szCs w:val="15"/>
                <w:color w:val="auto"/>
              </w:rPr>
            </w:pPr>
          </w:p>
        </w:tc>
        <w:tc>
          <w:tcPr>
            <w:tcW w:w="2540" w:type="dxa"/>
            <w:vAlign w:val="bottom"/>
            <w:tcBorders>
              <w:top w:val="single" w:sz="8" w:color="0000EE"/>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r>
      <w:tr>
        <w:trPr>
          <w:trHeight w:val="146"/>
        </w:trPr>
        <w:tc>
          <w:tcPr>
            <w:tcW w:w="9520" w:type="dxa"/>
            <w:vAlign w:val="bottom"/>
            <w:tcBorders>
              <w:bottom w:val="single" w:sz="8" w:color="0000EE"/>
            </w:tcBorders>
            <w:gridSpan w:val="6"/>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w w:val="99"/>
              </w:rPr>
              <w:t>UNAUDITED CONDENSED CONSOLIDATED STATEMENTS OF OPERATIONS AND COMPREHENSIVE LOSS FOR THE NINE MONTHS ENDED</w:t>
            </w:r>
          </w:p>
        </w:tc>
        <w:tc>
          <w:tcPr>
            <w:tcW w:w="620" w:type="dxa"/>
            <w:vAlign w:val="bottom"/>
            <w:tcBorders>
              <w:bottom w:val="single" w:sz="8" w:color="CCEEFF"/>
            </w:tcBorders>
            <w:gridSpan w:val="3"/>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r>
      <w:tr>
        <w:trPr>
          <w:trHeight w:val="174"/>
        </w:trPr>
        <w:tc>
          <w:tcPr>
            <w:tcW w:w="120" w:type="dxa"/>
            <w:vAlign w:val="bottom"/>
            <w:shd w:val="clear" w:color="auto" w:fill="CCEEFF"/>
          </w:tcPr>
          <w:p>
            <w:pPr>
              <w:spacing w:after="0"/>
              <w:rPr>
                <w:sz w:val="15"/>
                <w:szCs w:val="15"/>
                <w:color w:val="auto"/>
              </w:rPr>
            </w:pPr>
          </w:p>
        </w:tc>
        <w:tc>
          <w:tcPr>
            <w:tcW w:w="10020" w:type="dxa"/>
            <w:vAlign w:val="bottom"/>
            <w:gridSpan w:val="8"/>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SEPTEMBER 30, 2024 AND 2025</w:t>
            </w:r>
          </w:p>
        </w:tc>
        <w:tc>
          <w:tcPr>
            <w:tcW w:w="11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5"/>
              </w:rPr>
              <w:t>F-3</w:t>
            </w:r>
          </w:p>
        </w:tc>
      </w:tr>
      <w:tr>
        <w:trPr>
          <w:trHeight w:val="180"/>
        </w:trPr>
        <w:tc>
          <w:tcPr>
            <w:tcW w:w="120" w:type="dxa"/>
            <w:vAlign w:val="bottom"/>
            <w:tcBorders>
              <w:top w:val="single" w:sz="8" w:color="CCEEFF"/>
            </w:tcBorders>
          </w:tcPr>
          <w:p>
            <w:pPr>
              <w:spacing w:after="0"/>
              <w:rPr>
                <w:sz w:val="15"/>
                <w:szCs w:val="15"/>
                <w:color w:val="auto"/>
              </w:rPr>
            </w:pPr>
          </w:p>
        </w:tc>
        <w:tc>
          <w:tcPr>
            <w:tcW w:w="2140" w:type="dxa"/>
            <w:vAlign w:val="bottom"/>
            <w:tcBorders>
              <w:top w:val="single" w:sz="8" w:color="0000EE"/>
            </w:tcBorders>
          </w:tcPr>
          <w:p>
            <w:pPr>
              <w:spacing w:after="0"/>
              <w:rPr>
                <w:sz w:val="15"/>
                <w:szCs w:val="15"/>
                <w:color w:val="auto"/>
              </w:rPr>
            </w:pPr>
          </w:p>
        </w:tc>
        <w:tc>
          <w:tcPr>
            <w:tcW w:w="3340" w:type="dxa"/>
            <w:vAlign w:val="bottom"/>
            <w:tcBorders>
              <w:top w:val="single" w:sz="8" w:color="CCEEFF"/>
            </w:tcBorders>
          </w:tcPr>
          <w:p>
            <w:pPr>
              <w:spacing w:after="0"/>
              <w:rPr>
                <w:sz w:val="15"/>
                <w:szCs w:val="15"/>
                <w:color w:val="auto"/>
              </w:rPr>
            </w:pPr>
          </w:p>
        </w:tc>
        <w:tc>
          <w:tcPr>
            <w:tcW w:w="254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r>
      <w:tr>
        <w:trPr>
          <w:trHeight w:val="146"/>
        </w:trPr>
        <w:tc>
          <w:tcPr>
            <w:tcW w:w="10140" w:type="dxa"/>
            <w:vAlign w:val="bottom"/>
            <w:gridSpan w:val="9"/>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rPr>
              <w:t>UNAUDITED CONDENSED CONSOLIDATED STATEMENTS OF CHANGES IN SHAREHOLDERS’ EQUITY FOR THE NINE MONTHS ENDED</w:t>
            </w:r>
          </w:p>
        </w:tc>
        <w:tc>
          <w:tcPr>
            <w:tcW w:w="1120" w:type="dxa"/>
            <w:vAlign w:val="bottom"/>
            <w:shd w:val="clear" w:color="auto" w:fill="CCEEFF"/>
          </w:tcPr>
          <w:p>
            <w:pPr>
              <w:spacing w:after="0"/>
              <w:rPr>
                <w:sz w:val="12"/>
                <w:szCs w:val="12"/>
                <w:color w:val="auto"/>
              </w:rPr>
            </w:pPr>
          </w:p>
        </w:tc>
      </w:tr>
      <w:tr>
        <w:trPr>
          <w:trHeight w:val="174"/>
        </w:trPr>
        <w:tc>
          <w:tcPr>
            <w:tcW w:w="120" w:type="dxa"/>
            <w:vAlign w:val="bottom"/>
            <w:tcBorders>
              <w:top w:val="single" w:sz="8" w:color="0000EE"/>
            </w:tcBorders>
            <w:shd w:val="clear" w:color="auto" w:fill="CCEEFF"/>
          </w:tcPr>
          <w:p>
            <w:pPr>
              <w:spacing w:after="0"/>
              <w:rPr>
                <w:sz w:val="15"/>
                <w:szCs w:val="15"/>
                <w:color w:val="auto"/>
              </w:rPr>
            </w:pPr>
          </w:p>
        </w:tc>
        <w:tc>
          <w:tcPr>
            <w:tcW w:w="9180" w:type="dxa"/>
            <w:vAlign w:val="bottom"/>
            <w:tcBorders>
              <w:top w:val="single" w:sz="8" w:color="0000EE"/>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SEPTEMBER 30, 2024 AND 2025</w:t>
            </w:r>
          </w:p>
        </w:tc>
        <w:tc>
          <w:tcPr>
            <w:tcW w:w="840" w:type="dxa"/>
            <w:vAlign w:val="bottom"/>
            <w:tcBorders>
              <w:top w:val="single" w:sz="8" w:color="CCEEFF"/>
            </w:tcBorders>
            <w:gridSpan w:val="4"/>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5"/>
              </w:rPr>
              <w:t>F-4</w:t>
            </w:r>
          </w:p>
        </w:tc>
      </w:tr>
      <w:tr>
        <w:trPr>
          <w:trHeight w:val="180"/>
        </w:trPr>
        <w:tc>
          <w:tcPr>
            <w:tcW w:w="120" w:type="dxa"/>
            <w:vAlign w:val="bottom"/>
            <w:tcBorders>
              <w:top w:val="single" w:sz="8" w:color="CCEEFF"/>
            </w:tcBorders>
          </w:tcPr>
          <w:p>
            <w:pPr>
              <w:spacing w:after="0"/>
              <w:rPr>
                <w:sz w:val="15"/>
                <w:szCs w:val="15"/>
                <w:color w:val="auto"/>
              </w:rPr>
            </w:pPr>
          </w:p>
        </w:tc>
        <w:tc>
          <w:tcPr>
            <w:tcW w:w="2140" w:type="dxa"/>
            <w:vAlign w:val="bottom"/>
            <w:tcBorders>
              <w:top w:val="single" w:sz="8" w:color="0000EE"/>
            </w:tcBorders>
          </w:tcPr>
          <w:p>
            <w:pPr>
              <w:spacing w:after="0"/>
              <w:rPr>
                <w:sz w:val="15"/>
                <w:szCs w:val="15"/>
                <w:color w:val="auto"/>
              </w:rPr>
            </w:pPr>
          </w:p>
        </w:tc>
        <w:tc>
          <w:tcPr>
            <w:tcW w:w="3340" w:type="dxa"/>
            <w:vAlign w:val="bottom"/>
            <w:tcBorders>
              <w:top w:val="single" w:sz="8" w:color="CCEEFF"/>
            </w:tcBorders>
          </w:tcPr>
          <w:p>
            <w:pPr>
              <w:spacing w:after="0"/>
              <w:rPr>
                <w:sz w:val="15"/>
                <w:szCs w:val="15"/>
                <w:color w:val="auto"/>
              </w:rPr>
            </w:pPr>
          </w:p>
        </w:tc>
        <w:tc>
          <w:tcPr>
            <w:tcW w:w="254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r>
      <w:tr>
        <w:trPr>
          <w:trHeight w:val="160"/>
        </w:trPr>
        <w:tc>
          <w:tcPr>
            <w:tcW w:w="10140" w:type="dxa"/>
            <w:vAlign w:val="bottom"/>
            <w:gridSpan w:val="9"/>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rPr>
              <w:t>UNAUDITED CONDENSED CONSOLIDATED STATEMENTS OF CASH FLOWS FOR THE NINE MONTHS ENDED SEPTEMBER 30, 2024 AND 2025</w:t>
            </w:r>
          </w:p>
        </w:tc>
        <w:tc>
          <w:tcPr>
            <w:tcW w:w="112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w w:val="95"/>
              </w:rPr>
              <w:t>F-5</w:t>
            </w:r>
          </w:p>
        </w:tc>
      </w:tr>
      <w:tr>
        <w:trPr>
          <w:trHeight w:val="180"/>
        </w:trPr>
        <w:tc>
          <w:tcPr>
            <w:tcW w:w="12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tcPr>
          <w:p>
            <w:pPr>
              <w:spacing w:after="0"/>
              <w:rPr>
                <w:sz w:val="15"/>
                <w:szCs w:val="15"/>
                <w:color w:val="auto"/>
              </w:rPr>
            </w:pPr>
          </w:p>
        </w:tc>
        <w:tc>
          <w:tcPr>
            <w:tcW w:w="3340" w:type="dxa"/>
            <w:vAlign w:val="bottom"/>
            <w:tcBorders>
              <w:top w:val="single" w:sz="8" w:color="0000EE"/>
            </w:tcBorders>
          </w:tcPr>
          <w:p>
            <w:pPr>
              <w:spacing w:after="0"/>
              <w:rPr>
                <w:sz w:val="15"/>
                <w:szCs w:val="15"/>
                <w:color w:val="auto"/>
              </w:rPr>
            </w:pPr>
          </w:p>
        </w:tc>
        <w:tc>
          <w:tcPr>
            <w:tcW w:w="254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r>
      <w:tr>
        <w:trPr>
          <w:trHeight w:val="160"/>
        </w:trPr>
        <w:tc>
          <w:tcPr>
            <w:tcW w:w="5600" w:type="dxa"/>
            <w:vAlign w:val="bottom"/>
            <w:tcBorders>
              <w:bottom w:val="single" w:sz="8" w:color="0000EE"/>
            </w:tcBorders>
            <w:gridSpan w:val="3"/>
            <w:shd w:val="clear" w:color="auto" w:fill="CCEEFF"/>
          </w:tcPr>
          <w:p>
            <w:pPr>
              <w:spacing w:after="0" w:line="146" w:lineRule="exact"/>
              <w:rPr>
                <w:sz w:val="20"/>
                <w:szCs w:val="20"/>
                <w:color w:val="auto"/>
              </w:rPr>
            </w:pPr>
            <w:r>
              <w:rPr>
                <w:rFonts w:ascii="Times New Roman" w:cs="Times New Roman" w:eastAsia="Times New Roman" w:hAnsi="Times New Roman"/>
                <w:sz w:val="15"/>
                <w:szCs w:val="15"/>
                <w:color w:val="0000EE"/>
                <w:w w:val="98"/>
              </w:rPr>
              <w:t>NOTES TO UNAUDITED CONDENSED CONSOLIDATED FINANCIAL STATEMENTS</w:t>
            </w:r>
          </w:p>
        </w:tc>
        <w:tc>
          <w:tcPr>
            <w:tcW w:w="4540" w:type="dxa"/>
            <w:vAlign w:val="bottom"/>
            <w:tcBorders>
              <w:bottom w:val="single" w:sz="8" w:color="CCEEFF"/>
            </w:tcBorders>
            <w:gridSpan w:val="6"/>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5"/>
                <w:szCs w:val="15"/>
                <w:color w:val="auto"/>
                <w:w w:val="95"/>
              </w:rPr>
              <w:t>F-6</w:t>
            </w:r>
          </w:p>
        </w:tc>
      </w:tr>
      <w:tr>
        <w:trPr>
          <w:trHeight w:val="543"/>
        </w:trPr>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gridSpan w:val="7"/>
          </w:tcPr>
          <w:p>
            <w:pPr>
              <w:ind w:left="3260"/>
              <w:spacing w:after="0"/>
              <w:rPr>
                <w:sz w:val="20"/>
                <w:szCs w:val="20"/>
                <w:color w:val="auto"/>
              </w:rPr>
            </w:pPr>
            <w:r>
              <w:rPr>
                <w:rFonts w:ascii="Times New Roman" w:cs="Times New Roman" w:eastAsia="Times New Roman" w:hAnsi="Times New Roman"/>
                <w:sz w:val="15"/>
                <w:szCs w:val="15"/>
                <w:color w:val="auto"/>
              </w:rPr>
              <w:t>F-1</w:t>
            </w: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 (UNAUDITED)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U.S. Dollar thousands, except for share and per share data, or otherwise noted)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As of</w:t>
            </w:r>
          </w:p>
        </w:tc>
      </w:tr>
      <w:tr>
        <w:trPr>
          <w:trHeight w:val="192"/>
        </w:trPr>
        <w:tc>
          <w:tcPr>
            <w:tcW w:w="8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13"/>
        </w:trPr>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8"/>
                <w:szCs w:val="18"/>
                <w:color w:val="auto"/>
              </w:rPr>
            </w:pPr>
          </w:p>
        </w:tc>
      </w:tr>
      <w:tr>
        <w:trPr>
          <w:trHeight w:val="342"/>
        </w:trPr>
        <w:tc>
          <w:tcPr>
            <w:tcW w:w="8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8"/>
        </w:trPr>
        <w:tc>
          <w:tcPr>
            <w:tcW w:w="8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26,865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23,704</w:t>
            </w: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2,647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2,789</w:t>
            </w: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Short-term investments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20,985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21,643</w:t>
            </w: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75,605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75,338</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and other current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96,572</w:t>
            </w:r>
          </w:p>
        </w:tc>
      </w:tr>
      <w:tr>
        <w:trPr>
          <w:trHeight w:val="188"/>
        </w:trPr>
        <w:tc>
          <w:tcPr>
            <w:tcW w:w="85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10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196,273</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220,046</w:t>
            </w:r>
          </w:p>
        </w:tc>
        <w:tc>
          <w:tcPr>
            <w:tcW w:w="120" w:type="dxa"/>
            <w:vAlign w:val="bottom"/>
            <w:tcBorders>
              <w:top w:val="single" w:sz="8" w:color="CCEEFF"/>
              <w:bottom w:val="single" w:sz="8" w:color="CCEEFF"/>
            </w:tcBorders>
          </w:tcPr>
          <w:p>
            <w:pPr>
              <w:spacing w:after="0"/>
              <w:rPr>
                <w:sz w:val="16"/>
                <w:szCs w:val="16"/>
                <w:color w:val="auto"/>
              </w:rPr>
            </w:pPr>
          </w:p>
        </w:tc>
      </w:tr>
      <w:tr>
        <w:trPr>
          <w:trHeight w:val="180"/>
        </w:trPr>
        <w:tc>
          <w:tcPr>
            <w:tcW w:w="8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Non-current assets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investment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281</w:t>
            </w: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Property, software and equipment, net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27,664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24,768</w:t>
            </w: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 net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10,453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11,355</w:t>
            </w: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 net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17,289</w:t>
            </w:r>
          </w:p>
        </w:tc>
      </w:tr>
      <w:tr>
        <w:trPr>
          <w:trHeight w:val="21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right-of-use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237</w:t>
            </w:r>
          </w:p>
        </w:tc>
      </w:tr>
      <w:tr>
        <w:trPr>
          <w:trHeight w:val="188"/>
        </w:trPr>
        <w:tc>
          <w:tcPr>
            <w:tcW w:w="85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color w:val="auto"/>
              </w:rPr>
              <w:t>Total non-current assets</w:t>
            </w:r>
          </w:p>
        </w:tc>
        <w:tc>
          <w:tcPr>
            <w:tcW w:w="100" w:type="dxa"/>
            <w:vAlign w:val="bottom"/>
            <w:tcBorders>
              <w:top w:val="single" w:sz="8" w:color="CCEEFF"/>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50,455</w:t>
            </w:r>
          </w:p>
        </w:tc>
        <w:tc>
          <w:tcPr>
            <w:tcW w:w="14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53,930</w:t>
            </w:r>
          </w:p>
        </w:tc>
        <w:tc>
          <w:tcPr>
            <w:tcW w:w="120" w:type="dxa"/>
            <w:vAlign w:val="bottom"/>
            <w:tcBorders>
              <w:top w:val="single" w:sz="8" w:color="CCEEFF"/>
              <w:bottom w:val="single" w:sz="8" w:color="CCEEFF"/>
            </w:tcBorders>
          </w:tcPr>
          <w:p>
            <w:pPr>
              <w:spacing w:after="0"/>
              <w:rPr>
                <w:sz w:val="16"/>
                <w:szCs w:val="16"/>
                <w:color w:val="auto"/>
              </w:rPr>
            </w:pPr>
          </w:p>
        </w:tc>
      </w:tr>
      <w:tr>
        <w:trPr>
          <w:trHeight w:val="180"/>
        </w:trPr>
        <w:tc>
          <w:tcPr>
            <w:tcW w:w="8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246,728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273,976</w:t>
            </w:r>
          </w:p>
        </w:tc>
      </w:tr>
      <w:tr>
        <w:trPr>
          <w:trHeight w:val="174"/>
        </w:trPr>
        <w:tc>
          <w:tcPr>
            <w:tcW w:w="8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Short-term loans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83,597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87,540</w:t>
            </w: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56,812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65,977</w:t>
            </w: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2,421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2,285</w:t>
            </w: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payable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2,195</w:t>
            </w: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5,792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7,609</w:t>
            </w: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 due to related parties, current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6,238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6,671</w:t>
            </w:r>
          </w:p>
        </w:tc>
      </w:tr>
      <w:tr>
        <w:trPr>
          <w:trHeight w:val="194"/>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current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137</w:t>
            </w:r>
          </w:p>
        </w:tc>
      </w:tr>
      <w:tr>
        <w:trPr>
          <w:trHeight w:val="205"/>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156,765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172,414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0"/>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Non-current liabilities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non-current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w:t>
            </w: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Amount due to a related party, non-current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22,761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11,813</w:t>
            </w:r>
          </w:p>
        </w:tc>
      </w:tr>
      <w:tr>
        <w:trPr>
          <w:trHeight w:val="194"/>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Warrant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947</w:t>
            </w:r>
          </w:p>
        </w:tc>
      </w:tr>
      <w:tr>
        <w:trPr>
          <w:trHeight w:val="205"/>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non-current liabilities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23,729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12,792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3"/>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180,494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185,206</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74"/>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 (Note 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66"/>
        </w:trPr>
        <w:tc>
          <w:tcPr>
            <w:tcW w:w="856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Class A Ordinary shares (par value of US$0.0001 per share; 400,000,000 Class A Ordinary shares authorized as of December 31, 2024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85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September 30, 2025, respectively; 51,845,493 and 51,645,493 Class A Ordinary shares issued and outstanding as of December 31, 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85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respectively; 59,208,351 and 55,569,794 Class A Ordinary shares issued and outstanding as of September 30, 2025, respectively)</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w:t>
            </w:r>
          </w:p>
        </w:tc>
      </w:tr>
      <w:tr>
        <w:trPr>
          <w:trHeight w:val="166"/>
        </w:trPr>
        <w:tc>
          <w:tcPr>
            <w:tcW w:w="85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Class B Ordinary shares (par value of US$0.0001 per share; 100,000,000 Class B December 31, 2024 and September 30, 2025, respectively;</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46,659,565 and 46,439,565 Class B Ordinary shares issued and outstanding as of December 31, 2024 and September 30, 2025,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5"/>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respectively)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w:t>
            </w:r>
          </w:p>
        </w:tc>
      </w:tr>
      <w:tr>
        <w:trPr>
          <w:trHeight w:val="180"/>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 in capital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208,701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233,369</w:t>
            </w:r>
          </w:p>
        </w:tc>
      </w:tr>
      <w:tr>
        <w:trPr>
          <w:trHeight w:val="18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(195,387)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(202,872)</w:t>
            </w:r>
          </w:p>
        </w:tc>
      </w:tr>
      <w:tr>
        <w:trPr>
          <w:trHeight w:val="205"/>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(1,432)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(1,376)</w:t>
            </w:r>
          </w:p>
        </w:tc>
      </w:tr>
      <w:tr>
        <w:trPr>
          <w:trHeight w:val="180"/>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SUNCAR TECHNOLOGY GROUP INC’s shareholders’ equity</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11,892</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29,132</w:t>
            </w:r>
          </w:p>
        </w:tc>
        <w:tc>
          <w:tcPr>
            <w:tcW w:w="120" w:type="dxa"/>
            <w:vAlign w:val="bottom"/>
            <w:tcBorders>
              <w:top w:val="single" w:sz="8" w:color="CCEEFF"/>
            </w:tcBorders>
            <w:shd w:val="clear" w:color="auto" w:fill="CCEEFF"/>
          </w:tcPr>
          <w:p>
            <w:pPr>
              <w:spacing w:after="0"/>
              <w:rPr>
                <w:sz w:val="15"/>
                <w:szCs w:val="15"/>
                <w:color w:val="auto"/>
              </w:rPr>
            </w:pPr>
          </w:p>
        </w:tc>
      </w:tr>
      <w:tr>
        <w:trPr>
          <w:trHeight w:val="205"/>
        </w:trPr>
        <w:tc>
          <w:tcPr>
            <w:tcW w:w="8560" w:type="dxa"/>
            <w:vAlign w:val="bottom"/>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54,342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59,638</w:t>
            </w:r>
          </w:p>
        </w:tc>
      </w:tr>
      <w:tr>
        <w:trPr>
          <w:trHeight w:val="205"/>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66,234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88,770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80"/>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SHARESHOLDERS’ EQUITY</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246,728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273,976</w:t>
            </w:r>
          </w:p>
        </w:tc>
      </w:tr>
      <w:tr>
        <w:trPr>
          <w:trHeight w:val="20"/>
        </w:trPr>
        <w:tc>
          <w:tcPr>
            <w:tcW w:w="86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353"/>
        </w:trPr>
        <w:tc>
          <w:tcPr>
            <w:tcW w:w="9940" w:type="dxa"/>
            <w:vAlign w:val="bottom"/>
            <w:gridSpan w:val="5"/>
          </w:tcPr>
          <w:p>
            <w:pPr>
              <w:ind w:left="2360"/>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4"/>
        </w:trPr>
        <w:tc>
          <w:tcPr>
            <w:tcW w:w="8560" w:type="dxa"/>
            <w:vAlign w:val="bottom"/>
            <w:tcBorders>
              <w:bottom w:val="single" w:sz="8" w:color="auto"/>
            </w:tcBorders>
          </w:tcPr>
          <w:p>
            <w:pPr>
              <w:ind w:left="5520"/>
              <w:spacing w:after="0"/>
              <w:rPr>
                <w:sz w:val="20"/>
                <w:szCs w:val="20"/>
                <w:color w:val="auto"/>
              </w:rPr>
            </w:pPr>
            <w:r>
              <w:rPr>
                <w:rFonts w:ascii="Times New Roman" w:cs="Times New Roman" w:eastAsia="Times New Roman" w:hAnsi="Times New Roman"/>
                <w:sz w:val="15"/>
                <w:szCs w:val="15"/>
                <w:color w:val="auto"/>
              </w:rPr>
              <w:t>F-2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OPERATIONS AND COMPREHENSIVE LOSS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U.S. Dollar thousands, except for share and per share data, or otherwise noted)</w:t>
      </w:r>
    </w:p>
    <w:p>
      <w:pPr>
        <w:spacing w:after="0" w:line="17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spacing w:after="0" w:line="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r>
      <w:tr>
        <w:trPr>
          <w:trHeight w:val="36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Revenues</w:t>
            </w: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1"/>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 eInsurance service</w:t>
            </w:r>
          </w:p>
        </w:tc>
        <w:tc>
          <w:tcPr>
            <w:tcW w:w="2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119,108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149,243</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Technology service</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34,046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36,549</w:t>
            </w: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 service</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159,555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152,292</w:t>
            </w:r>
          </w:p>
        </w:tc>
      </w:tr>
      <w:tr>
        <w:trPr>
          <w:trHeight w:val="163"/>
        </w:trPr>
        <w:tc>
          <w:tcPr>
            <w:tcW w:w="630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revenues</w:t>
            </w:r>
          </w:p>
        </w:tc>
        <w:tc>
          <w:tcPr>
            <w:tcW w:w="236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312,709</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338,084</w:t>
            </w:r>
          </w:p>
        </w:tc>
        <w:tc>
          <w:tcPr>
            <w:tcW w:w="120" w:type="dxa"/>
            <w:vAlign w:val="bottom"/>
            <w:tcBorders>
              <w:top w:val="single" w:sz="8" w:color="CCEEFF"/>
            </w:tcBorders>
          </w:tcPr>
          <w:p>
            <w:pPr>
              <w:spacing w:after="0"/>
              <w:rPr>
                <w:sz w:val="14"/>
                <w:szCs w:val="14"/>
                <w:color w:val="auto"/>
              </w:rPr>
            </w:pPr>
          </w:p>
        </w:tc>
      </w:tr>
      <w:tr>
        <w:trPr>
          <w:trHeight w:val="180"/>
        </w:trPr>
        <w:tc>
          <w:tcPr>
            <w:tcW w:w="630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Operating cost and expenses</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Integrated service cost</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(158,843)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(154,286)</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Promotional service expenses</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(113,845)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(145,109)</w:t>
            </w: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expenses</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(20,683)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(15,867)</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(44,079)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(17,678)</w:t>
            </w: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(33,625)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(3,437)</w:t>
            </w:r>
          </w:p>
        </w:tc>
      </w:tr>
      <w:tr>
        <w:trPr>
          <w:trHeight w:val="165"/>
        </w:trPr>
        <w:tc>
          <w:tcPr>
            <w:tcW w:w="630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236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(371,075</w:t>
            </w:r>
          </w:p>
        </w:tc>
        <w:tc>
          <w:tcPr>
            <w:tcW w:w="140" w:type="dxa"/>
            <w:vAlign w:val="bottom"/>
            <w:tcBorders>
              <w:top w:val="single" w:sz="8" w:color="CCEEFF"/>
              <w:bottom w:val="single" w:sz="8" w:color="CCEEFF"/>
            </w:tcBorders>
          </w:tcPr>
          <w:p>
            <w:pPr>
              <w:jc w:val="right"/>
              <w:ind w:right="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(336,377</w:t>
            </w:r>
          </w:p>
        </w:tc>
        <w:tc>
          <w:tcPr>
            <w:tcW w:w="120" w:type="dxa"/>
            <w:vAlign w:val="bottom"/>
            <w:tcBorders>
              <w:top w:val="single" w:sz="8" w:color="CCEEFF"/>
              <w:bottom w:val="single" w:sz="8" w:color="CCEEFF"/>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w w:val="79"/>
              </w:rPr>
              <w:t>)</w:t>
            </w: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(loss)/income</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(58,366)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1,707</w:t>
            </w:r>
          </w:p>
        </w:tc>
        <w:tc>
          <w:tcPr>
            <w:tcW w:w="120" w:type="dxa"/>
            <w:vAlign w:val="bottom"/>
            <w:shd w:val="clear" w:color="auto" w:fill="CCEEFF"/>
          </w:tcPr>
          <w:p>
            <w:pPr>
              <w:spacing w:after="0"/>
              <w:rPr>
                <w:sz w:val="15"/>
                <w:szCs w:val="15"/>
                <w:color w:val="auto"/>
              </w:rPr>
            </w:pPr>
          </w:p>
        </w:tc>
      </w:tr>
      <w:tr>
        <w:trPr>
          <w:trHeight w:val="180"/>
        </w:trPr>
        <w:tc>
          <w:tcPr>
            <w:tcW w:w="6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Financial expenses, net</w:t>
            </w: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(3,463)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(3,143)</w:t>
            </w: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income</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418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358</w:t>
            </w:r>
          </w:p>
        </w:tc>
      </w:tr>
      <w:tr>
        <w:trPr>
          <w:trHeight w:val="194"/>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Other income/(expense), net</w:t>
            </w: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769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(2,208)</w:t>
            </w:r>
          </w:p>
        </w:tc>
      </w:tr>
      <w:tr>
        <w:trPr>
          <w:trHeight w:val="18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other expenses, net</w:t>
            </w:r>
          </w:p>
        </w:tc>
        <w:tc>
          <w:tcPr>
            <w:tcW w:w="2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(2,276)</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(4,993)</w:t>
            </w: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6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 expense</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(60,642)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(3,286)</w:t>
            </w:r>
          </w:p>
        </w:tc>
      </w:tr>
      <w:tr>
        <w:trPr>
          <w:trHeight w:val="194"/>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2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(931)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(840)</w:t>
            </w:r>
          </w:p>
        </w:tc>
      </w:tr>
      <w:tr>
        <w:trPr>
          <w:trHeight w:val="18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23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(61,573)</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(4,126)</w:t>
            </w: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63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3,174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3,359</w:t>
            </w:r>
          </w:p>
        </w:tc>
      </w:tr>
      <w:tr>
        <w:trPr>
          <w:trHeight w:val="205"/>
        </w:trPr>
        <w:tc>
          <w:tcPr>
            <w:tcW w:w="630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Net loss attributable to the Company’s ordinary shareholders</w:t>
            </w:r>
          </w:p>
        </w:tc>
        <w:tc>
          <w:tcPr>
            <w:tcW w:w="236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(64,747</w:t>
            </w:r>
          </w:p>
        </w:tc>
        <w:tc>
          <w:tcPr>
            <w:tcW w:w="140" w:type="dxa"/>
            <w:vAlign w:val="bottom"/>
            <w:tcBorders>
              <w:top w:val="single" w:sz="8" w:color="CCEEFF"/>
              <w:bottom w:val="single" w:sz="8" w:color="CCEEFF"/>
            </w:tcBorders>
          </w:tcPr>
          <w:p>
            <w:pPr>
              <w:jc w:val="right"/>
              <w:ind w:right="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(7,485</w:t>
            </w:r>
          </w:p>
        </w:tc>
        <w:tc>
          <w:tcPr>
            <w:tcW w:w="120" w:type="dxa"/>
            <w:vAlign w:val="bottom"/>
            <w:tcBorders>
              <w:top w:val="single" w:sz="8" w:color="CCEEFF"/>
              <w:bottom w:val="single" w:sz="8" w:color="CCEEFF"/>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w w:val="79"/>
              </w:rPr>
              <w:t>)</w:t>
            </w:r>
          </w:p>
        </w:tc>
      </w:tr>
      <w:tr>
        <w:trPr>
          <w:trHeight w:val="174"/>
        </w:trPr>
        <w:tc>
          <w:tcPr>
            <w:tcW w:w="630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60"/>
          </w:cols>
          <w:pgMar w:left="320" w:top="301" w:right="319" w:bottom="1440" w:gutter="0" w:footer="0" w:header="0"/>
        </w:sectPr>
      </w:pPr>
    </w:p>
    <w:p>
      <w:pPr>
        <w:spacing w:after="0"/>
        <w:rPr>
          <w:sz w:val="20"/>
          <w:szCs w:val="20"/>
          <w:color w:val="auto"/>
        </w:rPr>
      </w:pPr>
      <w:r>
        <w:rPr>
          <w:rFonts w:ascii="Times New Roman" w:cs="Times New Roman" w:eastAsia="Times New Roman" w:hAnsi="Times New Roman"/>
          <w:sz w:val="15"/>
          <w:szCs w:val="15"/>
          <w:color w:val="auto"/>
        </w:rPr>
        <w:t>Net loss per ordinary share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-107950</wp:posOffset>
            </wp:positionV>
            <wp:extent cx="7155180" cy="135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135890"/>
                    </a:xfrm>
                    <a:prstGeom prst="rect">
                      <a:avLst/>
                    </a:prstGeom>
                    <a:noFill/>
                  </pic:spPr>
                </pic:pic>
              </a:graphicData>
            </a:graphic>
          </wp:anchor>
        </w:drawing>
      </w:r>
    </w:p>
    <w:p>
      <w:pPr>
        <w:spacing w:after="0" w:line="222" w:lineRule="exact"/>
        <w:rPr>
          <w:sz w:val="20"/>
          <w:szCs w:val="20"/>
          <w:color w:val="auto"/>
        </w:rPr>
      </w:pPr>
    </w:p>
    <w:p>
      <w:pPr>
        <w:ind w:right="2640"/>
        <w:spacing w:after="0" w:line="280" w:lineRule="auto"/>
        <w:rPr>
          <w:sz w:val="20"/>
          <w:szCs w:val="20"/>
          <w:color w:val="auto"/>
        </w:rPr>
      </w:pPr>
      <w:r>
        <w:rPr>
          <w:rFonts w:ascii="Times New Roman" w:cs="Times New Roman" w:eastAsia="Times New Roman" w:hAnsi="Times New Roman"/>
          <w:sz w:val="15"/>
          <w:szCs w:val="15"/>
          <w:color w:val="auto"/>
        </w:rPr>
        <w:t>Weighted average shares outstanding used in calculating basic and diluted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5518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60" w:type="dxa"/>
            <w:vAlign w:val="bottom"/>
          </w:tcPr>
          <w:p>
            <w:pPr>
              <w:jc w:val="right"/>
              <w:ind w:right="305"/>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5"/>
                <w:szCs w:val="15"/>
                <w:color w:val="auto"/>
              </w:rPr>
              <w:t>(0.68)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(0.07)</w:t>
            </w: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7" w:lineRule="exact"/>
        <w:rPr>
          <w:sz w:val="20"/>
          <w:szCs w:val="20"/>
          <w:color w:val="auto"/>
        </w:rPr>
      </w:pPr>
    </w:p>
    <w:p>
      <w:pPr>
        <w:ind w:left="460"/>
        <w:spacing w:after="0"/>
        <w:tabs>
          <w:tab w:leader="none" w:pos="1720" w:val="left"/>
        </w:tabs>
        <w:rPr>
          <w:sz w:val="20"/>
          <w:szCs w:val="20"/>
          <w:color w:val="auto"/>
        </w:rPr>
      </w:pPr>
      <w:r>
        <w:rPr>
          <w:rFonts w:ascii="Times New Roman" w:cs="Times New Roman" w:eastAsia="Times New Roman" w:hAnsi="Times New Roman"/>
          <w:sz w:val="15"/>
          <w:szCs w:val="15"/>
          <w:color w:val="auto"/>
        </w:rPr>
        <w:t>95,221,846</w:t>
      </w:r>
      <w:r>
        <w:rPr>
          <w:sz w:val="20"/>
          <w:szCs w:val="20"/>
          <w:color w:val="auto"/>
        </w:rPr>
        <w:tab/>
      </w:r>
      <w:r>
        <w:rPr>
          <w:rFonts w:ascii="Times New Roman" w:cs="Times New Roman" w:eastAsia="Times New Roman" w:hAnsi="Times New Roman"/>
          <w:sz w:val="15"/>
          <w:szCs w:val="15"/>
          <w:color w:val="auto"/>
        </w:rPr>
        <w:t>102,106,309</w:t>
      </w:r>
    </w:p>
    <w:p>
      <w:pPr>
        <w:spacing w:after="0" w:line="39" w:lineRule="exact"/>
        <w:rPr>
          <w:sz w:val="20"/>
          <w:szCs w:val="20"/>
          <w:color w:val="auto"/>
        </w:rPr>
      </w:pPr>
    </w:p>
    <w:p>
      <w:pPr>
        <w:sectPr>
          <w:pgSz w:w="11900" w:h="16838" w:orient="portrait"/>
          <w:cols w:equalWidth="0" w:num="2">
            <w:col w:w="7940" w:space="720"/>
            <w:col w:w="2600"/>
          </w:cols>
          <w:pgMar w:left="320" w:top="301" w:right="3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75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56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translation difference</w:t>
            </w:r>
          </w:p>
        </w:tc>
        <w:tc>
          <w:tcPr>
            <w:tcW w:w="1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w:t>
            </w: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other comprehensive income</w:t>
            </w: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5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813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1,577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5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b w:val="1"/>
                <w:bCs w:val="1"/>
                <w:color w:val="auto"/>
              </w:rPr>
              <w:t>(60,760)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(2,549)</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total comprehensive income attributable to non-controlling interest</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5"/>
                <w:szCs w:val="15"/>
                <w:color w:val="auto"/>
              </w:rPr>
              <w:t>3,900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6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comprehensive loss attributable to the SUNCAR TECHNOLOGY GROUP INC’s shareholders</w:t>
            </w:r>
          </w:p>
        </w:tc>
        <w:tc>
          <w:tcPr>
            <w:tcW w:w="110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jc w:val="right"/>
              <w:ind w:right="225"/>
              <w:spacing w:after="0" w:line="163"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(64,660</w:t>
            </w:r>
          </w:p>
        </w:tc>
        <w:tc>
          <w:tcPr>
            <w:tcW w:w="2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80" w:type="dxa"/>
            <w:vAlign w:val="bottom"/>
            <w:tcBorders>
              <w:top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(7,429</w:t>
            </w:r>
          </w:p>
        </w:tc>
        <w:tc>
          <w:tcPr>
            <w:tcW w:w="120" w:type="dxa"/>
            <w:vAlign w:val="bottom"/>
            <w:tcBorders>
              <w:top w:val="single" w:sz="8" w:color="CCEEFF"/>
            </w:tcBorders>
            <w:gridSpan w:val="2"/>
          </w:tcPr>
          <w:p>
            <w:pPr>
              <w:jc w:val="right"/>
              <w:ind w:right="60"/>
              <w:spacing w:after="0" w:line="163"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type w:val="continuous"/>
        </w:sectPr>
      </w:pPr>
    </w:p>
    <w:bookmarkStart w:id="4" w:name="page5"/>
    <w:bookmarkEnd w:id="4"/>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CHANGES IN SHAREHOLDERS’ EQUITY</w:t>
      </w:r>
    </w:p>
    <w:p>
      <w:pPr>
        <w:spacing w:after="0" w:line="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 U.S. Dollar thousands, except for share and per share data, or otherwise noted)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20" w:type="dxa"/>
            <w:vAlign w:val="bottom"/>
          </w:tcPr>
          <w:p>
            <w:pPr>
              <w:spacing w:after="0"/>
              <w:rPr>
                <w:sz w:val="15"/>
                <w:szCs w:val="15"/>
                <w:color w:val="auto"/>
              </w:rPr>
            </w:pPr>
          </w:p>
        </w:tc>
        <w:tc>
          <w:tcPr>
            <w:tcW w:w="1460" w:type="dxa"/>
            <w:vAlign w:val="bottom"/>
            <w:gridSpan w:val="3"/>
            <w:vMerge w:val="restart"/>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Class A Ordinary</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vMerge w:val="restart"/>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Class B Ordinary</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4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80"/>
              <w:spacing w:after="0" w:line="169"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5"/>
                <w:szCs w:val="15"/>
                <w:b w:val="1"/>
                <w:bCs w:val="1"/>
                <w:color w:val="auto"/>
              </w:rPr>
              <w:t>other</w:t>
            </w:r>
          </w:p>
        </w:tc>
        <w:tc>
          <w:tcPr>
            <w:tcW w:w="940" w:type="dxa"/>
            <w:vAlign w:val="bottom"/>
            <w:gridSpan w:val="3"/>
          </w:tcPr>
          <w:p>
            <w:pPr>
              <w:jc w:val="center"/>
              <w:ind w:right="80"/>
              <w:spacing w:after="0" w:line="169" w:lineRule="exact"/>
              <w:rPr>
                <w:sz w:val="20"/>
                <w:szCs w:val="20"/>
                <w:color w:val="auto"/>
              </w:rPr>
            </w:pPr>
            <w:r>
              <w:rPr>
                <w:rFonts w:ascii="Times New Roman" w:cs="Times New Roman" w:eastAsia="Times New Roman" w:hAnsi="Times New Roman"/>
                <w:sz w:val="15"/>
                <w:szCs w:val="15"/>
                <w:b w:val="1"/>
                <w:bCs w:val="1"/>
                <w:color w:val="auto"/>
              </w:rPr>
              <w:t>Company’s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line="169" w:lineRule="exact"/>
              <w:rPr>
                <w:sz w:val="20"/>
                <w:szCs w:val="20"/>
                <w:color w:val="auto"/>
              </w:rPr>
            </w:pPr>
            <w:r>
              <w:rPr>
                <w:rFonts w:ascii="Times New Roman" w:cs="Times New Roman" w:eastAsia="Times New Roman" w:hAnsi="Times New Roman"/>
                <w:sz w:val="15"/>
                <w:szCs w:val="15"/>
                <w:b w:val="1"/>
                <w:bCs w:val="1"/>
                <w:color w:val="auto"/>
              </w:rPr>
              <w:t>Non-</w:t>
            </w:r>
          </w:p>
        </w:tc>
        <w:tc>
          <w:tcPr>
            <w:tcW w:w="160" w:type="dxa"/>
            <w:vAlign w:val="bottom"/>
          </w:tcPr>
          <w:p>
            <w:pPr>
              <w:spacing w:after="0"/>
              <w:rPr>
                <w:sz w:val="14"/>
                <w:szCs w:val="14"/>
                <w:color w:val="auto"/>
              </w:rPr>
            </w:pPr>
          </w:p>
        </w:tc>
        <w:tc>
          <w:tcPr>
            <w:tcW w:w="760" w:type="dxa"/>
            <w:vAlign w:val="bottom"/>
            <w:gridSpan w:val="3"/>
          </w:tcPr>
          <w:p>
            <w:pPr>
              <w:jc w:val="right"/>
              <w:ind w:right="320"/>
              <w:spacing w:after="0" w:line="169"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1"/>
        </w:trPr>
        <w:tc>
          <w:tcPr>
            <w:tcW w:w="1020" w:type="dxa"/>
            <w:vAlign w:val="bottom"/>
          </w:tcPr>
          <w:p>
            <w:pPr>
              <w:spacing w:after="0"/>
              <w:rPr>
                <w:sz w:val="17"/>
                <w:szCs w:val="17"/>
                <w:color w:val="auto"/>
              </w:rPr>
            </w:pPr>
          </w:p>
        </w:tc>
        <w:tc>
          <w:tcPr>
            <w:tcW w:w="1460" w:type="dxa"/>
            <w:vAlign w:val="bottom"/>
            <w:gridSpan w:val="3"/>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6"/>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5"/>
                <w:szCs w:val="15"/>
                <w:b w:val="1"/>
                <w:bCs w:val="1"/>
                <w:color w:val="auto"/>
              </w:rPr>
              <w:t>Treasury shares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4700" w:type="dxa"/>
            <w:vAlign w:val="bottom"/>
            <w:gridSpan w:val="18"/>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 comprehensive shareholders’ controlling shareholders’</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8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0" w:type="dxa"/>
            <w:vAlign w:val="bottom"/>
          </w:tcPr>
          <w:p>
            <w:pPr>
              <w:spacing w:after="0"/>
              <w:rPr>
                <w:sz w:val="15"/>
                <w:szCs w:val="15"/>
                <w:color w:val="auto"/>
              </w:rPr>
            </w:pPr>
          </w:p>
        </w:tc>
        <w:tc>
          <w:tcPr>
            <w:tcW w:w="8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6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445"/>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equity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5"/>
              </w:rPr>
              <w:t>interests</w:t>
            </w:r>
          </w:p>
        </w:tc>
        <w:tc>
          <w:tcPr>
            <w:tcW w:w="160" w:type="dxa"/>
            <w:vAlign w:val="bottom"/>
          </w:tcPr>
          <w:p>
            <w:pPr>
              <w:spacing w:after="0"/>
              <w:rPr>
                <w:sz w:val="15"/>
                <w:szCs w:val="15"/>
                <w:color w:val="auto"/>
              </w:rPr>
            </w:pPr>
          </w:p>
        </w:tc>
        <w:tc>
          <w:tcPr>
            <w:tcW w:w="7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50"/>
        </w:trPr>
        <w:tc>
          <w:tcPr>
            <w:tcW w:w="10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Balance as of</w:t>
            </w: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40,076,493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49,628,565</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(200,000)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144,160</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gridSpan w:val="3"/>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(126,724) $</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(1,367) $</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16,078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51,912</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67,990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Net (loss)/profit</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020" w:type="dxa"/>
            <w:vAlign w:val="bottom"/>
            <w:vMerge w:val="continue"/>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(64,747)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(61,573)</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Share-based</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compensation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8,800,000</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79"/>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61,803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61,804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63,472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0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Foreign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currency</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translation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726</w:t>
            </w:r>
          </w:p>
        </w:tc>
        <w:tc>
          <w:tcPr>
            <w:tcW w:w="1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Gains on debt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4,503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02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Balance as of</w:t>
            </w: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30, 2024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48,876,493</w:t>
            </w:r>
          </w:p>
        </w:tc>
        <w:tc>
          <w:tcPr>
            <w:tcW w:w="66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79"/>
              </w:rPr>
              <w:t>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49,628,565</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(200,000)</w:t>
            </w:r>
          </w:p>
        </w:tc>
        <w:tc>
          <w:tcPr>
            <w:tcW w:w="6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210,466</w:t>
            </w:r>
          </w:p>
        </w:tc>
        <w:tc>
          <w:tcPr>
            <w:tcW w:w="80" w:type="dxa"/>
            <w:vAlign w:val="bottom"/>
          </w:tcPr>
          <w:p>
            <w:pPr>
              <w:spacing w:after="0"/>
              <w:rPr>
                <w:sz w:val="21"/>
                <w:szCs w:val="21"/>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gridSpan w:val="3"/>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(191,471)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(1,280)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17,725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57,480</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75,205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0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Balance as of</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31, 2024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51,845,493</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5</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46,659,565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(200,000)</w:t>
            </w:r>
          </w:p>
        </w:tc>
        <w:tc>
          <w:tcPr>
            <w:tcW w:w="6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208,701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(195,387)</w:t>
            </w:r>
          </w:p>
        </w:tc>
        <w:tc>
          <w:tcPr>
            <w:tcW w:w="2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(1,432)</w:t>
            </w: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11,892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54,342</w:t>
            </w:r>
          </w:p>
        </w:tc>
        <w:tc>
          <w:tcPr>
            <w:tcW w:w="1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66,234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(loss)/profit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(7,485)</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(4,126)</w:t>
            </w:r>
          </w:p>
        </w:tc>
        <w:tc>
          <w:tcPr>
            <w:tcW w:w="4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Share-based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(281)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Issuance of</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ordinary</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 net of</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offering costs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7,142,858</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w w:val="79"/>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41,630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41,631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41,631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0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Shares transfer</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from Class B</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ordinary</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shares to</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Class A</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ordinary</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Shares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repurchase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(3,438,557)</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(15,760)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(15,760)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(15,760)</w:t>
            </w:r>
          </w:p>
        </w:tc>
        <w:tc>
          <w:tcPr>
            <w:tcW w:w="0" w:type="dxa"/>
            <w:vAlign w:val="bottom"/>
          </w:tcPr>
          <w:p>
            <w:pPr>
              <w:spacing w:after="0"/>
              <w:rPr>
                <w:sz w:val="1"/>
                <w:szCs w:val="1"/>
                <w:color w:val="auto"/>
              </w:rPr>
            </w:pPr>
          </w:p>
        </w:tc>
      </w:tr>
      <w:tr>
        <w:trPr>
          <w:trHeight w:val="166"/>
        </w:trPr>
        <w:tc>
          <w:tcPr>
            <w:tcW w:w="10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Acquisition of</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controlling</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interests</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(1,293)</w:t>
            </w:r>
          </w:p>
        </w:tc>
        <w:tc>
          <w:tcPr>
            <w:tcW w:w="16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(2,214)</w:t>
            </w:r>
          </w:p>
        </w:tc>
        <w:tc>
          <w:tcPr>
            <w:tcW w:w="0" w:type="dxa"/>
            <w:vAlign w:val="bottom"/>
          </w:tcPr>
          <w:p>
            <w:pPr>
              <w:spacing w:after="0"/>
              <w:rPr>
                <w:sz w:val="1"/>
                <w:szCs w:val="1"/>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Foreign</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currency</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translation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020" w:type="dxa"/>
            <w:vAlign w:val="bottom"/>
            <w:tcBorders>
              <w:top w:val="single" w:sz="8" w:color="CCEEFF"/>
            </w:tcBorders>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Balance as of</w:t>
            </w: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September</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02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30, 2025</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59,208,351</w:t>
            </w:r>
          </w:p>
        </w:tc>
        <w:tc>
          <w:tcPr>
            <w:tcW w:w="660" w:type="dxa"/>
            <w:vAlign w:val="bottom"/>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79"/>
              </w:rPr>
              <w:t>6</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46,439,565</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(3,638,557)</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233,369</w:t>
            </w:r>
          </w:p>
        </w:tc>
        <w:tc>
          <w:tcPr>
            <w:tcW w:w="8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gridSpan w:val="3"/>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(202,872)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(1,376) $</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29,132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59,638</w:t>
            </w: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88,770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p>
      <w:pPr>
        <w:spacing w:after="0" w:line="3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340"/>
          </w:cols>
          <w:pgMar w:left="320" w:top="301" w:right="2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U.S. Dollar thousands, except for share and per share data, or otherwise noted)</w:t>
      </w:r>
    </w:p>
    <w:p>
      <w:pPr>
        <w:spacing w:after="0" w:line="171"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spacing w:after="0" w:line="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4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(61,573)</w:t>
            </w:r>
          </w:p>
        </w:tc>
        <w:tc>
          <w:tcPr>
            <w:tcW w:w="3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(4,126)</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Adjustments to reconcile net loss to net cash used in operating activities: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2,359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5,133</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3,320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4,622</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operating right-of-use assets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577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616</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Loss on disposal of property, software and equipment</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11</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 benefit</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(732)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(627)</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Financing expense related to issuance of GEM Warrants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455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453</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liability for GEM litigation</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2,811</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Share-based compensation of subsidiary</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1,121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1,117</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compensation of the Group</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62,040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Changes in operating assets and liabilities: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(22,278)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(2,981)</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(10,131)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(24,772)</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27,340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7,617</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(687)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(194)</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Tax payable</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768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788</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(515)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w:t>
            </w:r>
          </w:p>
        </w:tc>
      </w:tr>
      <w:tr>
        <w:trPr>
          <w:trHeight w:val="194"/>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Amount due to related parties</w:t>
            </w: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1,327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183"/>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net cash provided by/(used in) operating activities</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1,182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(11,072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r>
      <w:tr>
        <w:trPr>
          <w:trHeight w:val="180"/>
        </w:trPr>
        <w:tc>
          <w:tcPr>
            <w:tcW w:w="7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Purchase of property, software and equipment</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(564)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(256)</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disposal of property, software and equipment</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Purchase of short-term investments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(21,265)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(358)</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the redemption of short-term investments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21,335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234</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Repurchase of non-controlling interests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(2,214)</w:t>
            </w: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 of other non-current assets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(9,341)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(6,420)</w:t>
            </w:r>
          </w:p>
        </w:tc>
      </w:tr>
      <w:tr>
        <w:trPr>
          <w:trHeight w:val="165"/>
        </w:trPr>
        <w:tc>
          <w:tcPr>
            <w:tcW w:w="748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net cash used in investing activities</w:t>
            </w:r>
          </w:p>
        </w:tc>
        <w:tc>
          <w:tcPr>
            <w:tcW w:w="118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(9,792</w:t>
            </w:r>
          </w:p>
        </w:tc>
        <w:tc>
          <w:tcPr>
            <w:tcW w:w="140" w:type="dxa"/>
            <w:vAlign w:val="bottom"/>
            <w:tcBorders>
              <w:top w:val="single" w:sz="8" w:color="CCEEFF"/>
              <w:bottom w:val="single" w:sz="8" w:color="CCEEFF"/>
            </w:tcBorders>
          </w:tcPr>
          <w:p>
            <w:pPr>
              <w:jc w:val="right"/>
              <w:ind w:right="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(9,013</w:t>
            </w:r>
          </w:p>
        </w:tc>
        <w:tc>
          <w:tcPr>
            <w:tcW w:w="120" w:type="dxa"/>
            <w:vAlign w:val="bottom"/>
            <w:tcBorders>
              <w:top w:val="single" w:sz="8" w:color="CCEEFF"/>
              <w:bottom w:val="single" w:sz="8" w:color="CCEEFF"/>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w w:val="79"/>
              </w:rPr>
              <w:t>)</w:t>
            </w:r>
          </w:p>
        </w:tc>
      </w:tr>
      <w:tr>
        <w:trPr>
          <w:trHeight w:val="180"/>
        </w:trPr>
        <w:tc>
          <w:tcPr>
            <w:tcW w:w="7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short-term loans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79,943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86,633</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Repayments of short-term loans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(80,569)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(84,833)</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Repayments of payables to a related party</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(1,699)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(11,398)</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Shares repurchase</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(15,760)</w:t>
            </w: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ordinary shares, net of issuance cost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41,631</w:t>
            </w:r>
          </w:p>
        </w:tc>
      </w:tr>
      <w:tr>
        <w:trPr>
          <w:trHeight w:val="165"/>
        </w:trPr>
        <w:tc>
          <w:tcPr>
            <w:tcW w:w="748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net cash (used in)/provided by financing activities</w:t>
            </w:r>
          </w:p>
        </w:tc>
        <w:tc>
          <w:tcPr>
            <w:tcW w:w="118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(2,325</w:t>
            </w:r>
          </w:p>
        </w:tc>
        <w:tc>
          <w:tcPr>
            <w:tcW w:w="140" w:type="dxa"/>
            <w:vAlign w:val="bottom"/>
            <w:tcBorders>
              <w:top w:val="single" w:sz="8" w:color="CCEEFF"/>
              <w:bottom w:val="single" w:sz="8" w:color="CCEEFF"/>
            </w:tcBorders>
          </w:tcPr>
          <w:p>
            <w:pPr>
              <w:jc w:val="right"/>
              <w:ind w:right="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16,273</w:t>
            </w:r>
          </w:p>
        </w:tc>
        <w:tc>
          <w:tcPr>
            <w:tcW w:w="120" w:type="dxa"/>
            <w:vAlign w:val="bottom"/>
            <w:tcBorders>
              <w:top w:val="single" w:sz="8" w:color="CCEEFF"/>
              <w:bottom w:val="single" w:sz="8" w:color="CCEEFF"/>
            </w:tcBorders>
          </w:tcPr>
          <w:p>
            <w:pPr>
              <w:spacing w:after="0"/>
              <w:rPr>
                <w:sz w:val="14"/>
                <w:szCs w:val="14"/>
                <w:color w:val="auto"/>
              </w:rPr>
            </w:pPr>
          </w:p>
        </w:tc>
      </w:tr>
      <w:tr>
        <w:trPr>
          <w:trHeight w:val="180"/>
        </w:trPr>
        <w:tc>
          <w:tcPr>
            <w:tcW w:w="7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Effect of exchange rate changes</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329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793</w:t>
            </w:r>
          </w:p>
        </w:tc>
      </w:tr>
      <w:tr>
        <w:trPr>
          <w:trHeight w:val="180"/>
        </w:trPr>
        <w:tc>
          <w:tcPr>
            <w:tcW w:w="7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Net change in cash and restricted cash</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(10,606)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(3,019)</w:t>
            </w:r>
          </w:p>
        </w:tc>
      </w:tr>
      <w:tr>
        <w:trPr>
          <w:trHeight w:val="180"/>
        </w:trPr>
        <w:tc>
          <w:tcPr>
            <w:tcW w:w="7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and restricted cash, beginning of the period</w:t>
            </w:r>
          </w:p>
        </w:tc>
        <w:tc>
          <w:tcPr>
            <w:tcW w:w="1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w:t>
            </w: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b w:val="1"/>
                <w:bCs w:val="1"/>
                <w:color w:val="auto"/>
              </w:rPr>
              <w:t>33,595</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29,512</w:t>
            </w:r>
          </w:p>
        </w:tc>
      </w:tr>
      <w:tr>
        <w:trPr>
          <w:trHeight w:val="183"/>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restricted cash, end of the period</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22,989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26,493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7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Reconciliation of cash and restricted cash to the unaudited condensed consolidated balance sheets: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Cash</w:t>
            </w:r>
          </w:p>
        </w:tc>
        <w:tc>
          <w:tcPr>
            <w:tcW w:w="1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20,239</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23,704</w:t>
            </w:r>
          </w:p>
        </w:tc>
      </w:tr>
      <w:tr>
        <w:trPr>
          <w:trHeight w:val="212"/>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w:t>
            </w:r>
          </w:p>
        </w:tc>
        <w:tc>
          <w:tcPr>
            <w:tcW w:w="14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2,750</w:t>
            </w:r>
          </w:p>
        </w:tc>
        <w:tc>
          <w:tcPr>
            <w:tcW w:w="3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2,789</w:t>
            </w:r>
          </w:p>
        </w:tc>
      </w:tr>
      <w:tr>
        <w:trPr>
          <w:trHeight w:val="205"/>
        </w:trPr>
        <w:tc>
          <w:tcPr>
            <w:tcW w:w="748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Total cash and restricted cash</w:t>
            </w:r>
          </w:p>
        </w:tc>
        <w:tc>
          <w:tcPr>
            <w:tcW w:w="118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22,989</w:t>
            </w:r>
          </w:p>
        </w:tc>
        <w:tc>
          <w:tcPr>
            <w:tcW w:w="1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26,493</w:t>
            </w:r>
          </w:p>
        </w:tc>
        <w:tc>
          <w:tcPr>
            <w:tcW w:w="120" w:type="dxa"/>
            <w:vAlign w:val="bottom"/>
            <w:tcBorders>
              <w:top w:val="single" w:sz="8" w:color="CCEEFF"/>
              <w:bottom w:val="single" w:sz="8" w:color="CCEEFF"/>
            </w:tcBorders>
          </w:tcPr>
          <w:p>
            <w:pPr>
              <w:spacing w:after="0"/>
              <w:rPr>
                <w:sz w:val="17"/>
                <w:szCs w:val="17"/>
                <w:color w:val="auto"/>
              </w:rPr>
            </w:pPr>
          </w:p>
        </w:tc>
      </w:tr>
      <w:tr>
        <w:trPr>
          <w:trHeight w:val="174"/>
        </w:trPr>
        <w:tc>
          <w:tcPr>
            <w:tcW w:w="7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paid</w:t>
            </w:r>
          </w:p>
        </w:tc>
        <w:tc>
          <w:tcPr>
            <w:tcW w:w="14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778</w:t>
            </w:r>
          </w:p>
        </w:tc>
        <w:tc>
          <w:tcPr>
            <w:tcW w:w="3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679</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 paid</w:t>
            </w:r>
          </w:p>
        </w:tc>
        <w:tc>
          <w:tcPr>
            <w:tcW w:w="1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2,816</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2,636</w:t>
            </w:r>
          </w:p>
        </w:tc>
      </w:tr>
      <w:tr>
        <w:trPr>
          <w:trHeight w:val="180"/>
        </w:trPr>
        <w:tc>
          <w:tcPr>
            <w:tcW w:w="74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non-cash flow information:</w:t>
            </w: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Obtaining right-of-use assets in exchange for operating lease liabilities</w:t>
            </w:r>
          </w:p>
        </w:tc>
        <w:tc>
          <w:tcPr>
            <w:tcW w:w="14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156</w:t>
            </w:r>
          </w:p>
        </w:tc>
      </w:tr>
      <w:tr>
        <w:trPr>
          <w:trHeight w:val="180"/>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Prepaid financing expense related to issuance of GEM Warrants</w:t>
            </w:r>
          </w:p>
        </w:tc>
        <w:tc>
          <w:tcPr>
            <w:tcW w:w="1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987</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382</w:t>
            </w:r>
          </w:p>
        </w:tc>
      </w:tr>
      <w:tr>
        <w:trPr>
          <w:trHeight w:val="18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Decrease of accrued expenses and other current liabilities due to vest of restricted shares</w:t>
            </w: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311</w:t>
            </w:r>
          </w:p>
        </w:tc>
        <w:tc>
          <w:tcPr>
            <w:tcW w:w="32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311</w:t>
            </w:r>
          </w:p>
        </w:tc>
      </w:tr>
      <w:tr>
        <w:trPr>
          <w:trHeight w:val="194"/>
        </w:trPr>
        <w:tc>
          <w:tcPr>
            <w:tcW w:w="7480" w:type="dxa"/>
            <w:vAlign w:val="bottom"/>
          </w:tcPr>
          <w:p>
            <w:pPr>
              <w:spacing w:after="0"/>
              <w:rPr>
                <w:sz w:val="20"/>
                <w:szCs w:val="20"/>
                <w:color w:val="auto"/>
              </w:rPr>
            </w:pPr>
            <w:r>
              <w:rPr>
                <w:rFonts w:ascii="Times New Roman" w:cs="Times New Roman" w:eastAsia="Times New Roman" w:hAnsi="Times New Roman"/>
                <w:sz w:val="15"/>
                <w:szCs w:val="15"/>
                <w:color w:val="auto"/>
              </w:rPr>
              <w:t>Repayments of payables to a related party</w:t>
            </w:r>
          </w:p>
        </w:tc>
        <w:tc>
          <w:tcPr>
            <w:tcW w:w="144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4,503</w:t>
            </w:r>
          </w:p>
        </w:tc>
        <w:tc>
          <w:tcPr>
            <w:tcW w:w="3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r>
    </w:tbl>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condensed consolidated financial statements.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 w:name="page7"/>
    <w:bookmarkEnd w:id="6"/>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ind w:left="270" w:hanging="270"/>
        <w:spacing w:after="0"/>
        <w:tabs>
          <w:tab w:leader="none" w:pos="270"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ORGANIZATION AND PRINCIPAL ACTIVITIES</w:t>
      </w:r>
    </w:p>
    <w:p>
      <w:pPr>
        <w:spacing w:after="0" w:line="192"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Auto Services Group Limited (“SunCar”) was incorporated under the laws of the British Virgin Islands (“BVI”) on September 19, 2012 and continued in the Cayman Islands in accordance with applicable laws.</w:t>
      </w:r>
    </w:p>
    <w:p>
      <w:pPr>
        <w:spacing w:after="0" w:line="138"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On May 23, 2022, SunCar entered into the Agreement and Plan of Merger (“Merger Agreement”) with Goldenbridge Acquisition Limited (“Goldenbridge”), SunCar Technology Group Inc. (“SunCar Technology”, or the “Company”), and SunCar Technology Global Inc (the “Merger Sub”), a Cayman Islands exempted company and wholly owned subsidiary of SunCar Technology.</w:t>
      </w:r>
    </w:p>
    <w:p>
      <w:pPr>
        <w:spacing w:after="0" w:line="150"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Pursuant to the Merger Agreement, at the closing of the transactions (the “Business Combination”, or the “Transaction”) contemplated by the Merger Agreement (the “Closing”), (i) Goldenbridge was merged with and into SunCar Technology, the separate corporate existence of Goldenbridge ceasing and SunCar Technology continuing as the surviving corporation; (ii) the Merger Sub was merged with and into SunCar, the Merger Sub ceasing and SunCar continuing as the surviving company.</w:t>
      </w:r>
    </w:p>
    <w:p>
      <w:pPr>
        <w:spacing w:after="0" w:line="150"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The Company, through its wholly-owned subsidiaries (collectively, the “Group”) primarily engages in providing auto eInsurance service, technology service and auto service in the People’s Republic of China (“PRC” or “China”).</w:t>
      </w:r>
    </w:p>
    <w:p>
      <w:pPr>
        <w:spacing w:after="0" w:line="138"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Sun Car Online Insurance Agency Co., Ltd. (“SunCar Online”) was incorporated under the laws of PRC on December 5, 2007, and along with its subsidiaries, are the Group’s main operating entities in China.</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Reverse recapitalization</w:t>
      </w:r>
    </w:p>
    <w:p>
      <w:pPr>
        <w:spacing w:after="0" w:line="192"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On May 17, 2023 (the “Closing Date”), Goldenbridge and SunCar Technology consummated the closing of the Transaction of Goldenbridge and SunCar Technology, following the approval at a Special Meeting of the shareholders on April 14, 2023. Following the consummation of the Transaction, Goldenbridge as a wholly-owned subsidiary of SunCar Technology and the outstanding shares of Goldenbridge being converted into the right to receive shares of SunCar Technology, the combined company will retain the SunCar Technology name.</w:t>
      </w:r>
    </w:p>
    <w:p>
      <w:pPr>
        <w:spacing w:after="0" w:line="150" w:lineRule="exact"/>
        <w:rPr>
          <w:sz w:val="20"/>
          <w:szCs w:val="20"/>
          <w:color w:val="auto"/>
        </w:rPr>
      </w:pPr>
    </w:p>
    <w:p>
      <w:pPr>
        <w:jc w:val="both"/>
        <w:ind w:left="10"/>
        <w:spacing w:after="0" w:line="255" w:lineRule="auto"/>
        <w:rPr>
          <w:sz w:val="20"/>
          <w:szCs w:val="20"/>
          <w:color w:val="auto"/>
        </w:rPr>
      </w:pPr>
      <w:r>
        <w:rPr>
          <w:rFonts w:ascii="Times New Roman" w:cs="Times New Roman" w:eastAsia="Times New Roman" w:hAnsi="Times New Roman"/>
          <w:sz w:val="15"/>
          <w:szCs w:val="15"/>
          <w:color w:val="auto"/>
        </w:rPr>
        <w:t>SunCar was determined to be the accounting acquirer given it effectively controlled the combined entity after the Transaction. The Transaction is not a business combination because Goldenbridge was not a business. The Transaction is accounted for as a reverse recapitalization, which is equivalent to the issuance of shares by SunCar for the net monetary assets of the Company, accompanied by a recapitalization. SunCar is determined as the accounting acquirer and the historical financial statements of SunCar became the Company’s historical financial statements, with retrospective adjustments to give effect of the reverse recapitalization. All of the Ordinary Shares and Convertible Preferred Shares of SunCar that were issued and outstanding immediately prior to the Transaction were cancelled and converted into an aggregate of 31,971,435 Class A ordinary shares and 49,628,565 Class B ordinary shares, which has been restated retrospectively to reflect the equity structure of the Company. The par value of ordinary shares changed from $0.00005 to $0.0001, the difference of $3 was adjusted retrospectively as in addition paid-in capital as of December 31, 2022.</w:t>
      </w:r>
    </w:p>
    <w:p>
      <w:pPr>
        <w:spacing w:after="0" w:line="34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518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As of September 30, 2025, SunCar’s major subsidiaries are as follows:</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343"/>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Percentage of</w:t>
            </w:r>
          </w:p>
        </w:tc>
        <w:tc>
          <w:tcPr>
            <w:tcW w:w="2260" w:type="dxa"/>
            <w:vAlign w:val="bottom"/>
          </w:tcPr>
          <w:p>
            <w:pPr>
              <w:spacing w:after="0"/>
              <w:rPr>
                <w:sz w:val="24"/>
                <w:szCs w:val="24"/>
                <w:color w:val="auto"/>
              </w:rPr>
            </w:pPr>
          </w:p>
        </w:tc>
      </w:tr>
      <w:tr>
        <w:trPr>
          <w:trHeight w:val="180"/>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9"/>
              </w:rPr>
              <w:t>Date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Place of</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Effective</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Principal</w:t>
            </w:r>
          </w:p>
        </w:tc>
      </w:tr>
      <w:tr>
        <w:trPr>
          <w:trHeight w:val="201"/>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5"/>
                <w:szCs w:val="15"/>
                <w:b w:val="1"/>
                <w:bCs w:val="1"/>
                <w:color w:val="auto"/>
                <w:w w:val="99"/>
              </w:rPr>
              <w:t>Incorporation</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Incorporation</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Ownership</w:t>
            </w:r>
          </w:p>
        </w:tc>
        <w:tc>
          <w:tcPr>
            <w:tcW w:w="24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Activities</w:t>
            </w:r>
          </w:p>
        </w:tc>
      </w:tr>
      <w:tr>
        <w:trPr>
          <w:trHeight w:val="18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Sun Car Online Insurance Agency Co., Ltd. (“SUNCAR Online”)</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center"/>
              <w:ind w:right="245"/>
              <w:spacing w:after="0"/>
              <w:rPr>
                <w:sz w:val="20"/>
                <w:szCs w:val="20"/>
                <w:color w:val="auto"/>
              </w:rPr>
            </w:pPr>
            <w:r>
              <w:rPr>
                <w:rFonts w:ascii="Times New Roman" w:cs="Times New Roman" w:eastAsia="Times New Roman" w:hAnsi="Times New Roman"/>
                <w:sz w:val="15"/>
                <w:szCs w:val="15"/>
                <w:color w:val="auto"/>
                <w:w w:val="99"/>
              </w:rPr>
              <w:t>December 5, 2007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PRC</w:t>
            </w:r>
          </w:p>
        </w:tc>
        <w:tc>
          <w:tcPr>
            <w:tcW w:w="1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56.33%</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Auto eInsurance service</w:t>
            </w:r>
          </w:p>
        </w:tc>
      </w:tr>
      <w:tr>
        <w:trPr>
          <w:trHeight w:val="180"/>
        </w:trPr>
        <w:tc>
          <w:tcPr>
            <w:tcW w:w="44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Shanghai Feiyou Trading Co., Limited (“Shanghai Feiyou”)</w:t>
            </w: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color w:val="auto"/>
              </w:rPr>
              <w:t>June 11, 2009</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100.00%</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Technology services</w:t>
            </w:r>
          </w:p>
        </w:tc>
      </w:tr>
      <w:tr>
        <w:trPr>
          <w:trHeight w:val="166"/>
        </w:trPr>
        <w:tc>
          <w:tcPr>
            <w:tcW w:w="4460" w:type="dxa"/>
            <w:vAlign w:val="bottom"/>
            <w:gridSpan w:val="3"/>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Shanghai Xuanbei Automobile Service Co., Limited (“Shanghai</w:t>
            </w: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r>
      <w:tr>
        <w:trPr>
          <w:trHeight w:val="195"/>
        </w:trPr>
        <w:tc>
          <w:tcPr>
            <w:tcW w:w="4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Xuanbei”)</w:t>
            </w:r>
          </w:p>
        </w:tc>
        <w:tc>
          <w:tcPr>
            <w:tcW w:w="2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5"/>
                <w:szCs w:val="15"/>
                <w:color w:val="auto"/>
              </w:rPr>
              <w:t>April 26, 2018</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Auto service</w:t>
            </w:r>
          </w:p>
        </w:tc>
      </w:tr>
      <w:tr>
        <w:trPr>
          <w:trHeight w:val="166"/>
        </w:trPr>
        <w:tc>
          <w:tcPr>
            <w:tcW w:w="4460" w:type="dxa"/>
            <w:vAlign w:val="bottom"/>
            <w:gridSpan w:val="3"/>
          </w:tcPr>
          <w:p>
            <w:pPr>
              <w:spacing w:after="0" w:line="166" w:lineRule="exact"/>
              <w:rPr>
                <w:sz w:val="20"/>
                <w:szCs w:val="20"/>
                <w:color w:val="auto"/>
              </w:rPr>
            </w:pPr>
            <w:r>
              <w:rPr>
                <w:rFonts w:ascii="Times New Roman" w:cs="Times New Roman" w:eastAsia="Times New Roman" w:hAnsi="Times New Roman"/>
                <w:sz w:val="15"/>
                <w:szCs w:val="15"/>
                <w:color w:val="auto"/>
              </w:rPr>
              <w:t>Shanghai Shengshi Dalian Automobile Service Co., Limited</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94"/>
        </w:trPr>
        <w:tc>
          <w:tcPr>
            <w:tcW w:w="446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(“Shengda Automobile”)</w:t>
            </w:r>
          </w:p>
        </w:tc>
        <w:tc>
          <w:tcPr>
            <w:tcW w:w="204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color w:val="auto"/>
                <w:w w:val="99"/>
              </w:rPr>
              <w:t>June 8, 2013</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84.21%</w:t>
            </w: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Auto service</w:t>
            </w:r>
          </w:p>
        </w:tc>
      </w:tr>
      <w:tr>
        <w:trPr>
          <w:trHeight w:val="181"/>
        </w:trPr>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Haiyan Trading (Shanghai) Co., Limited (“Haiyan”)</w:t>
            </w:r>
          </w:p>
        </w:tc>
        <w:tc>
          <w:tcPr>
            <w:tcW w:w="204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5"/>
                <w:szCs w:val="15"/>
                <w:color w:val="auto"/>
              </w:rPr>
              <w:t>November 22, 2012</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100.00%</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Holding company</w:t>
            </w:r>
          </w:p>
        </w:tc>
      </w:tr>
    </w:tbl>
    <w:p>
      <w:pPr>
        <w:spacing w:after="0" w:line="16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5"/>
          <w:szCs w:val="15"/>
          <w:b w:val="1"/>
          <w:bCs w:val="1"/>
          <w:color w:val="auto"/>
        </w:rPr>
        <w:t>2.</w:t>
        <w:tab/>
        <w:t>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Basis of presentation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accompanying consolidated financial statements are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Unaudited interim results are not necessarily indicative of the results for the full fiscal year. The accompanying unaudited condensed financial statements should be read in conjunction with the audited consolidated financial statements and accompanying notes for the years ended December 31, 2023 and 2024.</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unaudited condensed consolidated financial statements include the financial statements of the Company and its subsidiaries. All intercompany transactions and balances among the Company and its subsidiaries have been eliminated upon consolidation. For consolidated subsidiaries where the Group’s ownership in the subsidiary is less than 100%, the equity interest not held by the Group is shown as non-controlling interests.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 Use of estimates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unaudited condensed consolidated financial statements and accompanying notes. Significant accounting estimates include, but not limited to, the allowance for credit losses, useful lives and impairment of long-lived assets, valuation allowances of deferred tax assets, and warrant liabilities. Changes in facts and circumstances may result in revised estimates. Actual results could differ from those estimates, and as such, differences may be material to the unaudited condensed consolidated financial statements.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 Accounts receivable, net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Accounts receivable, net are stated at the original amount less allowances for credit losses. Accounts receivable are recognized in the period when the Group has provided services to its customers and when its right to consideration is unconditional. The Group adopted ASC Topic 326, Financial Instruments-Credit Losses (Topic 326) and assesses collectability by reviewing accounts receivable on a collective basis where similar characteristics exist, primarily based on similar business lines,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credit quality of the Group’s customers based on ongoing credit evaluations, current economic conditions, reasonable and supportable forecasts of future economic conditions, and other factors that may affect the Group’s ability to collect from customers.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 Warrant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Group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Warrants was estimated using a Black-Scholes model.</w:t>
      </w:r>
    </w:p>
    <w:p>
      <w:pPr>
        <w:spacing w:after="0" w:line="15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5"/>
          <w:szCs w:val="15"/>
          <w:b w:val="1"/>
          <w:bCs w:val="1"/>
          <w:i w:val="1"/>
          <w:iCs w:val="1"/>
          <w:color w:val="auto"/>
        </w:rPr>
        <w:t>(e).</w:t>
      </w:r>
      <w:r>
        <w:rPr>
          <w:sz w:val="20"/>
          <w:szCs w:val="20"/>
          <w:color w:val="auto"/>
        </w:rPr>
        <w:tab/>
      </w:r>
      <w:r>
        <w:rPr>
          <w:rFonts w:ascii="Times New Roman" w:cs="Times New Roman" w:eastAsia="Times New Roman" w:hAnsi="Times New Roman"/>
          <w:sz w:val="15"/>
          <w:szCs w:val="15"/>
          <w:b w:val="1"/>
          <w:bCs w:val="1"/>
          <w:i w:val="1"/>
          <w:iCs w:val="1"/>
          <w:color w:val="auto"/>
        </w:rPr>
        <w:t>Fair value measurement</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spacing w:after="0" w:line="150" w:lineRule="exact"/>
        <w:rPr>
          <w:sz w:val="20"/>
          <w:szCs w:val="20"/>
          <w:color w:val="auto"/>
        </w:rPr>
      </w:pPr>
    </w:p>
    <w:p>
      <w:pPr>
        <w:ind w:left="540" w:hanging="279"/>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1—Observable inputs that reflect quoted prices (unadjusted) for identical assets or liabilities in active markets.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2—Include other inputs that are directly or indirectly observable in the marketplace.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Level 3—Unobservable inputs which are supported by little or no market activity.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Financial assets and liabilities of the Group primarily consist of cash, accounts receivable, short-term investments, other receivables included in prepayments and other current assets, long-term investment, short-term borrowings, accounts payable, other payables included in accrued expenses and other current liabilities, and warrant liabilities. As of December 31, 2024 and September 30, 2025, the carrying amounts of other financial instruments approximated to their fair values due to the short-term maturity of these instruments. The warrant liabilities were measured at fair value using unobservable inputs and categorized in Level 3 of the fair value hierarchy.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Group’s non-financial assets, such as property, software and equipment, would be measured at fair value only if they were determined to be impaired.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 Revenue recognition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Group’s revenues are mainly generated from providing auto eInsurance service, technology service and auto service.</w:t>
      </w:r>
    </w:p>
    <w:p>
      <w:pPr>
        <w:spacing w:after="0" w:line="1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Group recognizes revenue pursuant to ASC 606, Revenue from Contracts with Customers (“ASC 606”). In accordance with ASC 606, revenues from contracts with customers are recognized when control of the promised goods or services is transferred to the Group’s customers, in an amount that reflects the consideration the Group expects to be entitled to in exchange for those goods or services, reduced by Value Added Tax (“VAT”). To achieve the core principle of this standard, we applied the following five steps:</w:t>
      </w:r>
    </w:p>
    <w:p>
      <w:pPr>
        <w:spacing w:after="0" w:line="150" w:lineRule="exact"/>
        <w:rPr>
          <w:sz w:val="20"/>
          <w:szCs w:val="20"/>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contract, or contracts, with the customer;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Identification of the performance obligations in the contract;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 of the transaction price;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the transaction price to the performance obligations in the contract;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Recognition of the revenue when, or as, a performance obligation is satisfied.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Auto eInsurance Service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The Group provides auto eInsurance service distributing primarily vehicle insurance on behalf of the insurance companies and charges insurance companies for intermediation service commissions. The commissions are determined as a percentage of premiums paid by the insured. Auto eInsurance services are considered to be rendered and completed, and revenue is recognized, at the time an insurance policy becomes effective, that is, when the signed insurance policy is in place and the premium is collected from the insured. The Group has satisfied the performance obligation to recognize revenue when the premiums are collected by the respective insurance companies and not before, because collectability is not ensured until receipt of the premium. Accordingly, the Group does not accrue any auto eInsurance service commission and fees prior to the receipt of the related premiums. No allowance for cancellation has been provided for intermediation services as cancellation of policies rarely occurs.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Technology service</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Group provides technology service including technical software and consulting related to automobile services and insurance, such as customer relationship management (CRM), order management, finance management and visual analysis systems. The Group charges service fee based on fixed price per month for service provided, and recognizes revenue over time during the service period.</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Auto service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Group defines enterprise customers as the Group’s customers and the Group sells auto service coupons to enterprise customers, which each coupon represents one specific auto service. There are various service types including vehicle washing, waxing, maintenance, driving service and road assistance, and the Group only provides one specific service among various service types for each specific service coupon. The Group identifies each specific service coupon as a contract that establishes enforceable rights and obligations for each party. The Group charges the service fee at a fixed price per service when the service is performed. For service coupons with limited duration, the Group either charges the service fee at a fixed price per service when the service is performed or when the coupon expires, whether or not the service has been performed. The Group considers each service coupon is a distinct service that is capable of providing a benefit to the customer on its own according to ASC 606-10-25-14(a). Therefore, the Group identifies only one performance obligation under a contract, which is to provide a specific service or to stand-ready to perform a specific service within a limited duration. The Group acts as a principal as the Group controls the right to services before the services are provided to customers and the Group has the ability to direct other parties to provide the services to customers on the Group’s behalf. Specifically, the Group has the ability to choose service providers, is primarily responsible for the acceptability for the service meeting customer specifications, bears inventory risk after transfer of control of services to customers, and has the discretion in establishing the price with customers and with service providers and bears credit risk. The Group recognizes revenue in the gross amount of consideration at a point of time when the service is provided, or when the service coupon expires. The Group does not provide refunds to customers when a coupon has expired but not used.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Group’s revenues are disaggregated by timing of revenue recognition as follows:</w:t>
      </w:r>
    </w:p>
    <w:p>
      <w:pPr>
        <w:spacing w:after="0" w:line="184"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spacing w:after="0" w:line="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r>
      <w:tr>
        <w:trPr>
          <w:trHeight w:val="18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recognized at a point of time</w:t>
            </w:r>
          </w:p>
        </w:tc>
        <w:tc>
          <w:tcPr>
            <w:tcW w:w="2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278,663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301,535</w:t>
            </w:r>
          </w:p>
        </w:tc>
        <w:tc>
          <w:tcPr>
            <w:tcW w:w="120" w:type="dxa"/>
            <w:vAlign w:val="bottom"/>
            <w:shd w:val="clear" w:color="auto" w:fill="CCEEFF"/>
          </w:tcPr>
          <w:p>
            <w:pPr>
              <w:spacing w:after="0"/>
              <w:rPr>
                <w:sz w:val="15"/>
                <w:szCs w:val="15"/>
                <w:color w:val="auto"/>
              </w:rPr>
            </w:pPr>
          </w:p>
        </w:tc>
      </w:tr>
      <w:tr>
        <w:trPr>
          <w:trHeight w:val="194"/>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Revenue recognized over time</w:t>
            </w:r>
          </w:p>
        </w:tc>
        <w:tc>
          <w:tcPr>
            <w:tcW w:w="2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34,046</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36,549</w:t>
            </w:r>
          </w:p>
        </w:tc>
      </w:tr>
      <w:tr>
        <w:trPr>
          <w:trHeight w:val="183"/>
        </w:trPr>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312,709</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338,084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Contract Balances</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Timing of revenue recognition may differ from the timing of invoicing to customers. Accounts receivable represent revenue recognized for the amounts invoiced and/or prior to invoicing when the Group has satisfied its performance obligation and has an unconditional right to the payment. Contract assets represent the Group’s right to consideration in exchange for goods or services that the Group has transferred to a customer. The Group has no contract assets as of December 31, 2024 and September 30, 2025.</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contract liabilities consist of deferred revenue, which represents the billings or cash received for services in advance of revenue recognition and is recognized as revenue the performance obligation is satisfied. The Group’s deferred revenue amounted to $2,421 and $2,285 as of December 31, 2024 and September 30, 2025, respectively. During the nine months ended September 30, 2024 and 2025, the Group recognized $3,050 and $2,228 that was included in deferred revenue balance at January 1, 2024 and 2025, respectively.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 Share-based compensation</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Group grants restricted share units (“RSUs”) of the Company and its subsidiary, SunCar Online, to eligible employees and management. The Group accounts for share-based awards issued to employees and non-employees in accordance with ASC Topic 718 Compensation – Stock Compensation. The Group recognizes compensation cost for an equity classified award using the straight-line method over the applicable vesting period based on the fair value of restricted shares granted on the date of the grant. Awards of subsidiary equity is recognized in “non-controlling interest” in the consolidated entity.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consideration for the business combination closed on May 17, 2023 included totally 4,800,000 earnout shares (“Earnout Shares”) granted to the management upon the achievement of revenue targets in 2022, 2023 and 2024. Earnout Shares in 2022 was accounted for as part of the consideration of the business combination. The Group recognizes Earnout Shares in 2023 and 2024 for an equity classified award using the graded vesting method over the applicable vesting period based on the fair value of the Earnout Shares on the grant date.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 Foreign currency transactions and translations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The Group’s principal country of operations is the PRC. The financial position and results of its operations are determined using RMB, the local currency, as the functional currency. The Group’s financial statements are reported using U.S. Dollars (“$”). The results of operations and the unaudited condensed consolidated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unaudited condensed consolidated statements of cash flows will not necessarily agree with changes in the corresponding balances on the unaudited condensed consolidated balance sheets. Translation adjustments arising from the use of different exchange rates from period to period are included as a separate component of accumulated other comprehensive income (loss) included in unaudited condensed consolidated statements of changes in equity. Gains and losses from foreign currency transactions are included in the results of operations.</w:t>
      </w:r>
    </w:p>
    <w:p>
      <w:pPr>
        <w:spacing w:after="0" w:line="15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The value of RMB against $ and other currencies may fluctuate and is affected by, among other things, changes in the PRC’s political and economic conditions. Any significant revaluation of RMB may materially affect the Group’s financial condition in terms of $ reporting. The following table outlines the currency exchange rates that were used in creating the unaudited condensed consolidated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2"/>
        </w:trPr>
        <w:tc>
          <w:tcPr>
            <w:tcW w:w="866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1"/>
        </w:trPr>
        <w:tc>
          <w:tcPr>
            <w:tcW w:w="86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7"/>
                <w:szCs w:val="17"/>
                <w:color w:val="auto"/>
              </w:rPr>
            </w:pPr>
          </w:p>
        </w:tc>
      </w:tr>
      <w:tr>
        <w:trPr>
          <w:trHeight w:val="18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sheet items, except for equity accounts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7.2993</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7.119</w:t>
            </w:r>
          </w:p>
        </w:tc>
        <w:tc>
          <w:tcPr>
            <w:tcW w:w="120" w:type="dxa"/>
            <w:vAlign w:val="bottom"/>
            <w:shd w:val="clear" w:color="auto" w:fill="CCEEFF"/>
          </w:tcPr>
          <w:p>
            <w:pPr>
              <w:spacing w:after="0"/>
              <w:rPr>
                <w:sz w:val="15"/>
                <w:szCs w:val="15"/>
                <w:color w:val="auto"/>
              </w:rPr>
            </w:pPr>
          </w:p>
        </w:tc>
      </w:tr>
      <w:tr>
        <w:trPr>
          <w:trHeight w:val="342"/>
        </w:trPr>
        <w:tc>
          <w:tcPr>
            <w:tcW w:w="8660" w:type="dxa"/>
            <w:vAlign w:val="bottom"/>
          </w:tcPr>
          <w:p>
            <w:pPr>
              <w:spacing w:after="0"/>
              <w:rPr>
                <w:sz w:val="24"/>
                <w:szCs w:val="24"/>
                <w:color w:val="auto"/>
              </w:rPr>
            </w:pPr>
          </w:p>
        </w:tc>
        <w:tc>
          <w:tcPr>
            <w:tcW w:w="260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r>
      <w:tr>
        <w:trPr>
          <w:trHeight w:val="201"/>
        </w:trPr>
        <w:tc>
          <w:tcPr>
            <w:tcW w:w="8660" w:type="dxa"/>
            <w:vAlign w:val="bottom"/>
          </w:tcPr>
          <w:p>
            <w:pPr>
              <w:spacing w:after="0"/>
              <w:rPr>
                <w:sz w:val="17"/>
                <w:szCs w:val="17"/>
                <w:color w:val="auto"/>
              </w:rPr>
            </w:pPr>
          </w:p>
        </w:tc>
        <w:tc>
          <w:tcPr>
            <w:tcW w:w="260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4"/>
        </w:trPr>
        <w:tc>
          <w:tcPr>
            <w:tcW w:w="866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6"/>
                <w:szCs w:val="16"/>
                <w:color w:val="auto"/>
              </w:rPr>
            </w:pPr>
          </w:p>
        </w:tc>
      </w:tr>
      <w:tr>
        <w:trPr>
          <w:trHeight w:val="18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Items in the statements of operations and comprehensive loss, and statements of cash flows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7.1977</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7.2201</w:t>
            </w:r>
          </w:p>
        </w:tc>
        <w:tc>
          <w:tcPr>
            <w:tcW w:w="120" w:type="dxa"/>
            <w:vAlign w:val="bottom"/>
            <w:shd w:val="clear" w:color="auto" w:fill="CCEEFF"/>
          </w:tcPr>
          <w:p>
            <w:pPr>
              <w:spacing w:after="0"/>
              <w:rPr>
                <w:sz w:val="15"/>
                <w:szCs w:val="15"/>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representation is made that the RMB amounts could have been, or could be, converted into U.S. dollars at the rates used in translation.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 Recent accounting pronouncements</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is in the process of evaluation the impact of adopting this new guidance on its consolidated financial statement.</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The Group is currently evaluating the impact that the adoption of these standards will have on its consolidated financial statements and disclosures.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In November 2024, the FASB issued ASU 2024-04, Debt–Debt with Conversion and Other Options (Subtopic 470-20): Induced Conversion of Convertible Debt Instruments (“ASU 2024–04”),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for all entities that have adopted the amendments in Update 2020-06. The Group is in the process of evaluation the impact of adopting this new guidance on its consolidated financial statement.</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In July 2025, the FASB issued ASU 2025-05, Financial Instruments—Credit Losses (Topic 326): Measurement of Credit Losses for Accounts Receivable and Contract Assets (“ASU 2025-05”). The amendments in ASU 2025-05 provide entities with a practical expedient to simplify the estimation 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Group for its annual reporting periods beginning after December 15, 2025, and interim reporting periods within those annual reporting periods, with early adoption permitted. The Group is currently evaluating the impact ASU 2025-05 will have on its consolidated financial statements.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financial condition, results of operations, cash flows or disclosures.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3" w:name="page14"/>
    <w:bookmarkEnd w:id="13"/>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ind w:left="270" w:hanging="270"/>
        <w:spacing w:after="0"/>
        <w:tabs>
          <w:tab w:leader="none" w:pos="270" w:val="left"/>
        </w:tabs>
        <w:numPr>
          <w:ilvl w:val="0"/>
          <w:numId w:val="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SEGMENT INFORMATION</w:t>
      </w:r>
    </w:p>
    <w:p>
      <w:pPr>
        <w:spacing w:after="0" w:line="192" w:lineRule="exact"/>
        <w:rPr>
          <w:sz w:val="20"/>
          <w:szCs w:val="20"/>
          <w:color w:val="auto"/>
        </w:rPr>
      </w:pPr>
    </w:p>
    <w:p>
      <w:pPr>
        <w:jc w:val="both"/>
        <w:ind w:left="10" w:right="20"/>
        <w:spacing w:after="0" w:line="265" w:lineRule="auto"/>
        <w:rPr>
          <w:sz w:val="20"/>
          <w:szCs w:val="20"/>
          <w:color w:val="auto"/>
        </w:rPr>
      </w:pPr>
      <w:r>
        <w:rPr>
          <w:rFonts w:ascii="Times New Roman" w:cs="Times New Roman" w:eastAsia="Times New Roman" w:hAnsi="Times New Roman"/>
          <w:sz w:val="15"/>
          <w:szCs w:val="15"/>
          <w:color w:val="auto"/>
        </w:rPr>
        <w:t>The CODM reviews financial information of operating segments based on internal management report when making decisions about allocating resources and assessing the performance of the Group. As a result of the assessment made by CODM, the Group has four reportable segments, including auto eInsurance business, technology service and auto service business. The Group’s CODM evaluates performance based on the operating segment’s revenue and their operating results. The revenue and operating results by segments were as follows: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4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For the nine months ended September 30, 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2"/>
        </w:trPr>
        <w:tc>
          <w:tcPr>
            <w:tcW w:w="4600" w:type="dxa"/>
            <w:vAlign w:val="bottom"/>
          </w:tcPr>
          <w:p>
            <w:pPr>
              <w:spacing w:after="0"/>
              <w:rPr>
                <w:sz w:val="14"/>
                <w:szCs w:val="14"/>
                <w:color w:val="auto"/>
              </w:rPr>
            </w:pPr>
          </w:p>
        </w:tc>
        <w:tc>
          <w:tcPr>
            <w:tcW w:w="1280" w:type="dxa"/>
            <w:vAlign w:val="bottom"/>
            <w:gridSpan w:val="3"/>
          </w:tcPr>
          <w:p>
            <w:pPr>
              <w:jc w:val="center"/>
              <w:ind w:right="140"/>
              <w:spacing w:after="0" w:line="161" w:lineRule="exact"/>
              <w:rPr>
                <w:sz w:val="20"/>
                <w:szCs w:val="20"/>
                <w:color w:val="auto"/>
              </w:rPr>
            </w:pPr>
            <w:r>
              <w:rPr>
                <w:rFonts w:ascii="Times New Roman" w:cs="Times New Roman" w:eastAsia="Times New Roman" w:hAnsi="Times New Roman"/>
                <w:sz w:val="15"/>
                <w:szCs w:val="15"/>
                <w:b w:val="1"/>
                <w:bCs w:val="1"/>
                <w:color w:val="auto"/>
              </w:rPr>
              <w:t>Auto einsurance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line="161" w:lineRule="exact"/>
              <w:rPr>
                <w:sz w:val="20"/>
                <w:szCs w:val="20"/>
                <w:color w:val="auto"/>
              </w:rPr>
            </w:pPr>
            <w:r>
              <w:rPr>
                <w:rFonts w:ascii="Times New Roman" w:cs="Times New Roman" w:eastAsia="Times New Roman" w:hAnsi="Times New Roman"/>
                <w:sz w:val="15"/>
                <w:szCs w:val="15"/>
                <w:b w:val="1"/>
                <w:bCs w:val="1"/>
                <w:color w:val="auto"/>
                <w:w w:val="97"/>
              </w:rPr>
              <w:t>Technology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1"/>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service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service</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Auto service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Others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from external customers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149,243</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36,549</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152,292</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338,084</w:t>
            </w: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cost and expenses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Integrated service cost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(19,960)</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(134,326)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(154,286)</w:t>
            </w: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Promotional service and selling expenses</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(147,332)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(8,940)</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(4,704)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(160,976)</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(847)</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(11,022)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(17,678)</w:t>
            </w: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(707)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(1,210)</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(1,520)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(3,437)</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(151,501)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(30,957)</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(151,572)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(2,347)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(336,377)</w:t>
            </w:r>
          </w:p>
        </w:tc>
      </w:tr>
      <w:tr>
        <w:trPr>
          <w:trHeight w:val="214"/>
        </w:trPr>
        <w:tc>
          <w:tcPr>
            <w:tcW w:w="4600" w:type="dxa"/>
            <w:vAlign w:val="bottom"/>
          </w:tcPr>
          <w:p>
            <w:pPr>
              <w:spacing w:after="0" w:line="214" w:lineRule="exact"/>
              <w:rPr>
                <w:sz w:val="20"/>
                <w:szCs w:val="20"/>
                <w:color w:val="auto"/>
              </w:rPr>
            </w:pPr>
            <w:r>
              <w:rPr>
                <w:rFonts w:ascii="Times New Roman" w:cs="Times New Roman" w:eastAsia="Times New Roman" w:hAnsi="Times New Roman"/>
                <w:sz w:val="15"/>
                <w:szCs w:val="15"/>
                <w:b w:val="1"/>
                <w:bCs w:val="1"/>
                <w:color w:val="auto"/>
              </w:rPr>
              <w:t xml:space="preserve">Total other income (expenses), net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(157)</w:t>
            </w: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(1,584)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(3,216)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(4,993)</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Segment (loss) income before tax</w:t>
            </w: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(2,294)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5,435</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(864)</w:t>
            </w:r>
          </w:p>
        </w:tc>
        <w:tc>
          <w:tcPr>
            <w:tcW w:w="3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(5,563)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(3,286)</w:t>
            </w:r>
          </w:p>
        </w:tc>
      </w:tr>
      <w:tr>
        <w:trPr>
          <w:trHeight w:val="374"/>
        </w:trPr>
        <w:tc>
          <w:tcPr>
            <w:tcW w:w="46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4600" w:type="dxa"/>
            <w:vAlign w:val="bottom"/>
          </w:tcPr>
          <w:p>
            <w:pPr>
              <w:spacing w:after="0"/>
              <w:rPr>
                <w:sz w:val="14"/>
                <w:szCs w:val="14"/>
                <w:color w:val="auto"/>
              </w:rPr>
            </w:pPr>
          </w:p>
        </w:tc>
        <w:tc>
          <w:tcPr>
            <w:tcW w:w="1280" w:type="dxa"/>
            <w:vAlign w:val="bottom"/>
            <w:gridSpan w:val="3"/>
          </w:tcPr>
          <w:p>
            <w:pPr>
              <w:jc w:val="center"/>
              <w:ind w:right="140"/>
              <w:spacing w:after="0" w:line="161" w:lineRule="exact"/>
              <w:rPr>
                <w:sz w:val="20"/>
                <w:szCs w:val="20"/>
                <w:color w:val="auto"/>
              </w:rPr>
            </w:pPr>
            <w:r>
              <w:rPr>
                <w:rFonts w:ascii="Times New Roman" w:cs="Times New Roman" w:eastAsia="Times New Roman" w:hAnsi="Times New Roman"/>
                <w:sz w:val="15"/>
                <w:szCs w:val="15"/>
                <w:b w:val="1"/>
                <w:bCs w:val="1"/>
                <w:color w:val="auto"/>
              </w:rPr>
              <w:t>Auto einsurance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80"/>
              <w:spacing w:after="0" w:line="161" w:lineRule="exact"/>
              <w:rPr>
                <w:sz w:val="20"/>
                <w:szCs w:val="20"/>
                <w:color w:val="auto"/>
              </w:rPr>
            </w:pPr>
            <w:r>
              <w:rPr>
                <w:rFonts w:ascii="Times New Roman" w:cs="Times New Roman" w:eastAsia="Times New Roman" w:hAnsi="Times New Roman"/>
                <w:sz w:val="15"/>
                <w:szCs w:val="15"/>
                <w:b w:val="1"/>
                <w:bCs w:val="1"/>
                <w:color w:val="auto"/>
                <w:w w:val="97"/>
              </w:rPr>
              <w:t>Technology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1"/>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service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service</w:t>
            </w:r>
          </w:p>
        </w:tc>
        <w:tc>
          <w:tcPr>
            <w:tcW w:w="1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Auto service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Others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Consolidated</w:t>
            </w:r>
          </w:p>
        </w:tc>
      </w:tr>
      <w:tr>
        <w:trPr>
          <w:trHeight w:val="18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from external customers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119,108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34,046</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159,555</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312,709</w:t>
            </w: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cost and expenses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Integrated service cost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(20,964)</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(137,879)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(158,843)</w:t>
            </w: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Promotional service and selling expenses</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(118,789)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(12,044)</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(3,695)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(134,528)</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(1,635)</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(6,475)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(32,501)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(44,079)</w:t>
            </w: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(1,037)</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(1,524)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(31,020)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(33,625)</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(122,301)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(35,680)</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(149,573)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(63,521)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(371,075)</w:t>
            </w:r>
          </w:p>
        </w:tc>
      </w:tr>
      <w:tr>
        <w:trPr>
          <w:trHeight w:val="180"/>
        </w:trPr>
        <w:tc>
          <w:tcPr>
            <w:tcW w:w="46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other expenses, net(1)</w:t>
            </w: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(281)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(217)</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(1,322)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(456)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(2,276)</w:t>
            </w:r>
          </w:p>
        </w:tc>
      </w:tr>
      <w:tr>
        <w:trPr>
          <w:trHeight w:val="18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Segment income (loss) before tax</w:t>
            </w: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(3,474)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(1,851)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8,660</w:t>
            </w:r>
          </w:p>
        </w:tc>
        <w:tc>
          <w:tcPr>
            <w:tcW w:w="3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(63,977)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(60,642)</w:t>
            </w:r>
          </w:p>
        </w:tc>
      </w:tr>
    </w:tbl>
    <w:p>
      <w:pPr>
        <w:spacing w:after="0" w:line="188" w:lineRule="exact"/>
        <w:rPr>
          <w:sz w:val="20"/>
          <w:szCs w:val="20"/>
          <w:color w:val="auto"/>
        </w:rPr>
      </w:pPr>
    </w:p>
    <w:p>
      <w:pPr>
        <w:ind w:left="30"/>
        <w:spacing w:after="0"/>
        <w:rPr>
          <w:sz w:val="20"/>
          <w:szCs w:val="20"/>
          <w:color w:val="auto"/>
        </w:rPr>
      </w:pPr>
      <w:r>
        <w:rPr>
          <w:rFonts w:ascii="Times New Roman" w:cs="Times New Roman" w:eastAsia="Times New Roman" w:hAnsi="Times New Roman"/>
          <w:sz w:val="15"/>
          <w:szCs w:val="15"/>
          <w:color w:val="auto"/>
        </w:rPr>
        <w:t>(1)  Included net of financial expenses, investment income and others.</w:t>
      </w:r>
    </w:p>
    <w:p>
      <w:pPr>
        <w:spacing w:after="0" w:line="39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518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20"/>
                <w:szCs w:val="20"/>
                <w:color w:val="auto"/>
              </w:rPr>
            </w:pPr>
            <w:r>
              <w:rPr>
                <w:rFonts w:ascii="Times New Roman" w:cs="Times New Roman" w:eastAsia="Times New Roman" w:hAnsi="Times New Roman"/>
                <w:sz w:val="15"/>
                <w:szCs w:val="15"/>
                <w:color w:val="auto"/>
              </w:rPr>
              <w:t>The total assets by segments as of December 31, 2024 and as of September 30, 2025 were as follows: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7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1"/>
        </w:trPr>
        <w:tc>
          <w:tcPr>
            <w:tcW w:w="7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980" w:type="dxa"/>
            <w:vAlign w:val="bottom"/>
          </w:tcPr>
          <w:p>
            <w:pPr>
              <w:spacing w:after="0"/>
              <w:rPr>
                <w:sz w:val="20"/>
                <w:szCs w:val="20"/>
                <w:color w:val="auto"/>
              </w:rPr>
            </w:pPr>
            <w:r>
              <w:rPr>
                <w:rFonts w:ascii="Times New Roman" w:cs="Times New Roman" w:eastAsia="Times New Roman" w:hAnsi="Times New Roman"/>
                <w:sz w:val="15"/>
                <w:szCs w:val="15"/>
                <w:color w:val="auto"/>
              </w:rPr>
              <w:t>Segment assets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 eInsurance service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56,769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69,203</w:t>
            </w:r>
          </w:p>
        </w:tc>
        <w:tc>
          <w:tcPr>
            <w:tcW w:w="0" w:type="dxa"/>
            <w:vAlign w:val="bottom"/>
          </w:tcPr>
          <w:p>
            <w:pPr>
              <w:spacing w:after="0"/>
              <w:rPr>
                <w:sz w:val="1"/>
                <w:szCs w:val="1"/>
                <w:color w:val="auto"/>
              </w:rPr>
            </w:pPr>
          </w:p>
        </w:tc>
      </w:tr>
      <w:tr>
        <w:trPr>
          <w:trHeight w:val="180"/>
        </w:trPr>
        <w:tc>
          <w:tcPr>
            <w:tcW w:w="7980" w:type="dxa"/>
            <w:vAlign w:val="bottom"/>
          </w:tcPr>
          <w:p>
            <w:pPr>
              <w:spacing w:after="0"/>
              <w:rPr>
                <w:sz w:val="20"/>
                <w:szCs w:val="20"/>
                <w:color w:val="auto"/>
              </w:rPr>
            </w:pPr>
            <w:r>
              <w:rPr>
                <w:rFonts w:ascii="Times New Roman" w:cs="Times New Roman" w:eastAsia="Times New Roman" w:hAnsi="Times New Roman"/>
                <w:sz w:val="15"/>
                <w:szCs w:val="15"/>
                <w:color w:val="auto"/>
              </w:rPr>
              <w:t>Technology service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39,391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31,716</w:t>
            </w: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 service</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148,630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170,589</w:t>
            </w:r>
          </w:p>
        </w:tc>
        <w:tc>
          <w:tcPr>
            <w:tcW w:w="0" w:type="dxa"/>
            <w:vAlign w:val="bottom"/>
          </w:tcPr>
          <w:p>
            <w:pPr>
              <w:spacing w:after="0"/>
              <w:rPr>
                <w:sz w:val="1"/>
                <w:szCs w:val="1"/>
                <w:color w:val="auto"/>
              </w:rPr>
            </w:pPr>
          </w:p>
        </w:tc>
      </w:tr>
      <w:tr>
        <w:trPr>
          <w:trHeight w:val="194"/>
        </w:trPr>
        <w:tc>
          <w:tcPr>
            <w:tcW w:w="798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2,468</w:t>
            </w:r>
          </w:p>
        </w:tc>
        <w:tc>
          <w:tcPr>
            <w:tcW w:w="0" w:type="dxa"/>
            <w:vAlign w:val="bottom"/>
          </w:tcPr>
          <w:p>
            <w:pPr>
              <w:spacing w:after="0"/>
              <w:rPr>
                <w:sz w:val="1"/>
                <w:szCs w:val="1"/>
                <w:color w:val="auto"/>
              </w:rPr>
            </w:pPr>
          </w:p>
        </w:tc>
      </w:tr>
      <w:tr>
        <w:trPr>
          <w:trHeight w:val="183"/>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segment assets</w:t>
            </w: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246,728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273,976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4.  ACCOUNTS RECEIVABLE, NET</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9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98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net consisted of the following: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1"/>
        </w:trPr>
        <w:tc>
          <w:tcPr>
            <w:tcW w:w="79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97,467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102,959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98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(21,862)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(27,621)</w:t>
            </w:r>
          </w:p>
        </w:tc>
        <w:tc>
          <w:tcPr>
            <w:tcW w:w="0" w:type="dxa"/>
            <w:vAlign w:val="bottom"/>
          </w:tcPr>
          <w:p>
            <w:pPr>
              <w:spacing w:after="0"/>
              <w:rPr>
                <w:sz w:val="1"/>
                <w:szCs w:val="1"/>
                <w:color w:val="auto"/>
              </w:rPr>
            </w:pPr>
          </w:p>
        </w:tc>
      </w:tr>
      <w:tr>
        <w:trPr>
          <w:trHeight w:val="183"/>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net</w:t>
            </w: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75,605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75,338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The Group recognized credit losses of $2,359 and $5,133 for the nine months ended September 30, 2024 and 2025.</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9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980" w:type="dxa"/>
            <w:vAlign w:val="bottom"/>
          </w:tcPr>
          <w:p>
            <w:pPr>
              <w:spacing w:after="0"/>
              <w:rPr>
                <w:sz w:val="20"/>
                <w:szCs w:val="20"/>
                <w:color w:val="auto"/>
              </w:rPr>
            </w:pPr>
            <w:r>
              <w:rPr>
                <w:rFonts w:ascii="Times New Roman" w:cs="Times New Roman" w:eastAsia="Times New Roman" w:hAnsi="Times New Roman"/>
                <w:sz w:val="15"/>
                <w:szCs w:val="15"/>
                <w:color w:val="auto"/>
              </w:rPr>
              <w:t>The movement of allowance for credit losses for the nine months ended September 30, 2024 and 2025 were as following: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7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c>
          <w:tcPr>
            <w:tcW w:w="0" w:type="dxa"/>
            <w:vAlign w:val="bottom"/>
          </w:tcPr>
          <w:p>
            <w:pPr>
              <w:spacing w:after="0"/>
              <w:rPr>
                <w:sz w:val="1"/>
                <w:szCs w:val="1"/>
                <w:color w:val="auto"/>
              </w:rPr>
            </w:pPr>
          </w:p>
        </w:tc>
      </w:tr>
      <w:tr>
        <w:trPr>
          <w:trHeight w:val="201"/>
        </w:trPr>
        <w:tc>
          <w:tcPr>
            <w:tcW w:w="7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6"/>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94"/>
        </w:trPr>
        <w:tc>
          <w:tcPr>
            <w:tcW w:w="79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the beginning of the period</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21,144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21,862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80" w:type="dxa"/>
            <w:vAlign w:val="bottom"/>
          </w:tcPr>
          <w:p>
            <w:pPr>
              <w:spacing w:after="0"/>
              <w:rPr>
                <w:sz w:val="20"/>
                <w:szCs w:val="20"/>
                <w:color w:val="auto"/>
              </w:rPr>
            </w:pPr>
            <w:r>
              <w:rPr>
                <w:rFonts w:ascii="Times New Roman" w:cs="Times New Roman" w:eastAsia="Times New Roman" w:hAnsi="Times New Roman"/>
                <w:sz w:val="15"/>
                <w:szCs w:val="15"/>
                <w:color w:val="auto"/>
              </w:rPr>
              <w:t>Additions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5,133</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626</w:t>
            </w:r>
          </w:p>
        </w:tc>
        <w:tc>
          <w:tcPr>
            <w:tcW w:w="0" w:type="dxa"/>
            <w:vAlign w:val="bottom"/>
          </w:tcPr>
          <w:p>
            <w:pPr>
              <w:spacing w:after="0"/>
              <w:rPr>
                <w:sz w:val="1"/>
                <w:szCs w:val="1"/>
                <w:color w:val="auto"/>
              </w:rPr>
            </w:pPr>
          </w:p>
        </w:tc>
      </w:tr>
      <w:tr>
        <w:trPr>
          <w:trHeight w:val="165"/>
        </w:trPr>
        <w:tc>
          <w:tcPr>
            <w:tcW w:w="798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Balance at the end of the period</w:t>
            </w:r>
          </w:p>
        </w:tc>
        <w:tc>
          <w:tcPr>
            <w:tcW w:w="68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23,812</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27,621</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543"/>
        </w:trPr>
        <w:tc>
          <w:tcPr>
            <w:tcW w:w="798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5"/>
                <w:szCs w:val="15"/>
                <w:color w:val="auto"/>
              </w:rPr>
              <w:t>F-14</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1" w:right="319" w:bottom="1440" w:gutter="0" w:footer="0" w:header="0"/>
        </w:sectPr>
      </w:pPr>
    </w:p>
    <w:bookmarkStart w:id="15" w:name="page16"/>
    <w:bookmarkEnd w:id="15"/>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ind w:left="270" w:hanging="270"/>
        <w:spacing w:after="0"/>
        <w:tabs>
          <w:tab w:leader="none" w:pos="270"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PREPAID EXPENSES AND OTHER CURRENT ASSETS, NET</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Prepayments and other current assets, net consisted of the following:</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3"/>
        </w:trPr>
        <w:tc>
          <w:tcPr>
            <w:tcW w:w="6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2"/>
        </w:trPr>
        <w:tc>
          <w:tcPr>
            <w:tcW w:w="64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1"/>
        </w:trPr>
        <w:tc>
          <w:tcPr>
            <w:tcW w:w="6400" w:type="dxa"/>
            <w:vAlign w:val="bottom"/>
            <w:tcBorders>
              <w:bottom w:val="single" w:sz="8" w:color="CCEEFF"/>
            </w:tcBorders>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7"/>
                <w:szCs w:val="17"/>
                <w:color w:val="auto"/>
              </w:rPr>
            </w:pPr>
          </w:p>
        </w:tc>
      </w:tr>
      <w:tr>
        <w:trPr>
          <w:trHeight w:val="18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Advances to suppliers</w:t>
            </w: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65,753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87,413</w:t>
            </w:r>
          </w:p>
        </w:tc>
        <w:tc>
          <w:tcPr>
            <w:tcW w:w="120" w:type="dxa"/>
            <w:vAlign w:val="bottom"/>
            <w:shd w:val="clear" w:color="auto" w:fill="CCEEFF"/>
          </w:tcPr>
          <w:p>
            <w:pPr>
              <w:spacing w:after="0"/>
              <w:rPr>
                <w:sz w:val="15"/>
                <w:szCs w:val="15"/>
                <w:color w:val="auto"/>
              </w:rPr>
            </w:pPr>
          </w:p>
        </w:tc>
      </w:tr>
      <w:tr>
        <w:trPr>
          <w:trHeight w:val="214"/>
        </w:trPr>
        <w:tc>
          <w:tcPr>
            <w:tcW w:w="640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Securities margin </w:t>
            </w:r>
            <w:r>
              <w:rPr>
                <w:rFonts w:ascii="Times New Roman" w:cs="Times New Roman" w:eastAsia="Times New Roman" w:hAnsi="Times New Roman"/>
                <w:sz w:val="24"/>
                <w:szCs w:val="24"/>
                <w:color w:val="auto"/>
                <w:vertAlign w:val="superscript"/>
              </w:rPr>
              <w:t>(1)</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4,068</w:t>
            </w:r>
          </w:p>
        </w:tc>
      </w:tr>
      <w:tr>
        <w:trPr>
          <w:trHeight w:val="18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Value-added tax (“VAT”) receivables</w:t>
            </w: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2,301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2,725</w:t>
            </w:r>
          </w:p>
        </w:tc>
      </w:tr>
      <w:tr>
        <w:trPr>
          <w:trHeight w:val="214"/>
        </w:trPr>
        <w:tc>
          <w:tcPr>
            <w:tcW w:w="640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Receivables from third parties </w:t>
            </w:r>
            <w:r>
              <w:rPr>
                <w:rFonts w:ascii="Times New Roman" w:cs="Times New Roman" w:eastAsia="Times New Roman" w:hAnsi="Times New Roman"/>
                <w:sz w:val="24"/>
                <w:szCs w:val="24"/>
                <w:color w:val="auto"/>
                <w:vertAlign w:val="superscript"/>
              </w:rPr>
              <w:t>(2)</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1,000</w:t>
            </w:r>
          </w:p>
        </w:tc>
      </w:tr>
      <w:tr>
        <w:trPr>
          <w:trHeight w:val="214"/>
        </w:trPr>
        <w:tc>
          <w:tcPr>
            <w:tcW w:w="6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Prepaid financing expense </w:t>
            </w:r>
            <w:r>
              <w:rPr>
                <w:rFonts w:ascii="Times New Roman" w:cs="Times New Roman" w:eastAsia="Times New Roman" w:hAnsi="Times New Roman"/>
                <w:sz w:val="24"/>
                <w:szCs w:val="24"/>
                <w:color w:val="auto"/>
                <w:vertAlign w:val="superscript"/>
              </w:rPr>
              <w:t>(3)</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382</w:t>
            </w:r>
          </w:p>
        </w:tc>
      </w:tr>
      <w:tr>
        <w:trPr>
          <w:trHeight w:val="194"/>
        </w:trPr>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1,155</w:t>
            </w:r>
          </w:p>
        </w:tc>
      </w:tr>
      <w:tr>
        <w:trPr>
          <w:trHeight w:val="180"/>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Prepaid expenses and other current assets</w:t>
            </w:r>
          </w:p>
        </w:tc>
        <w:tc>
          <w:tcPr>
            <w:tcW w:w="2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70,301</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96,743</w:t>
            </w:r>
          </w:p>
        </w:tc>
        <w:tc>
          <w:tcPr>
            <w:tcW w:w="120" w:type="dxa"/>
            <w:vAlign w:val="bottom"/>
            <w:tcBorders>
              <w:top w:val="single" w:sz="8" w:color="CCEEFF"/>
            </w:tcBorders>
            <w:shd w:val="clear" w:color="auto" w:fill="CCEEFF"/>
          </w:tcPr>
          <w:p>
            <w:pPr>
              <w:spacing w:after="0"/>
              <w:rPr>
                <w:sz w:val="15"/>
                <w:szCs w:val="15"/>
                <w:color w:val="auto"/>
              </w:rPr>
            </w:pPr>
          </w:p>
        </w:tc>
      </w:tr>
      <w:tr>
        <w:trPr>
          <w:trHeight w:val="194"/>
        </w:trPr>
        <w:tc>
          <w:tcPr>
            <w:tcW w:w="640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(171)</w:t>
            </w:r>
          </w:p>
        </w:tc>
      </w:tr>
      <w:tr>
        <w:trPr>
          <w:trHeight w:val="183"/>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Prepaid expenses and other current assets, net</w:t>
            </w:r>
          </w:p>
        </w:tc>
        <w:tc>
          <w:tcPr>
            <w:tcW w:w="2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70,171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10" w:right="20" w:hanging="287"/>
        <w:spacing w:after="0" w:line="258" w:lineRule="auto"/>
        <w:tabs>
          <w:tab w:leader="none" w:pos="31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April 21, May 15 and August 12, 2025, Shanghai Cuhong Auto Services Co., Ltd. (“Shanghai Cuhong”), a subsidiary of the Company, provided cash collateral of RMB14.6 million (approximately $2.0 million), RMB7.2 million (approximately $1.0 million) and RMB7.2 million (approximately $1.0 million), respectively, to Beijing Youhu Business Services Co., Ltd. (“Youhu”) under a guarantee agreement. The collateral was intended to secure margin loan obligations of Lu Ruixia, Yang Shuaiqi, Yang Dan and Guo Qingbao with Youhu’s related entities, Tiger Brokers (NZ) Limited and Tiger Brokers (HK) Global Limited. The amount is refundable only when such third-parties have fully satisfied and complied with any additional margin requirements. The Company expects to recover this securities margin by 2026.</w:t>
      </w:r>
    </w:p>
    <w:p>
      <w:pPr>
        <w:spacing w:after="0" w:line="199" w:lineRule="exact"/>
        <w:rPr>
          <w:rFonts w:ascii="Times New Roman" w:cs="Times New Roman" w:eastAsia="Times New Roman" w:hAnsi="Times New Roman"/>
          <w:sz w:val="15"/>
          <w:szCs w:val="15"/>
          <w:color w:val="auto"/>
        </w:rPr>
      </w:pPr>
    </w:p>
    <w:p>
      <w:pPr>
        <w:ind w:left="310" w:hanging="287"/>
        <w:spacing w:after="0"/>
        <w:tabs>
          <w:tab w:leader="none" w:pos="31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represented advance to the employees for the Company’s daily operation.</w:t>
      </w:r>
    </w:p>
    <w:p>
      <w:pPr>
        <w:spacing w:after="0" w:line="233" w:lineRule="exact"/>
        <w:rPr>
          <w:rFonts w:ascii="Times New Roman" w:cs="Times New Roman" w:eastAsia="Times New Roman" w:hAnsi="Times New Roman"/>
          <w:sz w:val="15"/>
          <w:szCs w:val="15"/>
          <w:color w:val="auto"/>
        </w:rPr>
      </w:pPr>
    </w:p>
    <w:p>
      <w:pPr>
        <w:ind w:left="310" w:hanging="287"/>
        <w:spacing w:after="0"/>
        <w:tabs>
          <w:tab w:leader="none" w:pos="31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represented prepaid financing expense related to issuance of GEM Warrants (See Note 10).</w:t>
      </w:r>
    </w:p>
    <w:p>
      <w:pPr>
        <w:spacing w:after="0" w:line="211" w:lineRule="exact"/>
        <w:rPr>
          <w:sz w:val="20"/>
          <w:szCs w:val="20"/>
          <w:color w:val="auto"/>
        </w:rPr>
      </w:pPr>
    </w:p>
    <w:p>
      <w:pPr>
        <w:ind w:left="10"/>
        <w:spacing w:after="0" w:line="280" w:lineRule="auto"/>
        <w:rPr>
          <w:sz w:val="20"/>
          <w:szCs w:val="20"/>
          <w:color w:val="auto"/>
        </w:rPr>
      </w:pPr>
      <w:r>
        <w:rPr>
          <w:rFonts w:ascii="Times New Roman" w:cs="Times New Roman" w:eastAsia="Times New Roman" w:hAnsi="Times New Roman"/>
          <w:sz w:val="15"/>
          <w:szCs w:val="15"/>
          <w:color w:val="auto"/>
        </w:rPr>
        <w:t>The Group assessed the collectability of prepayments and other current assets, and did not record credit losses for the nine months ended September 30, 2024 and 2025, respectively. The movement of allowance for credit losses for the nine months ended September 30, 2024 and 2025 were as following:</w:t>
      </w:r>
    </w:p>
    <w:p>
      <w:pPr>
        <w:spacing w:after="0" w:line="134"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spacing w:after="0" w:line="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3880" w:type="dxa"/>
            <w:vAlign w:val="bottom"/>
            <w:tcBorders>
              <w:bottom w:val="single" w:sz="8" w:color="CCEEFF"/>
            </w:tcBorders>
          </w:tcPr>
          <w:p>
            <w:pPr>
              <w:spacing w:after="0"/>
              <w:rPr>
                <w:sz w:val="17"/>
                <w:szCs w:val="17"/>
                <w:color w:val="auto"/>
              </w:rPr>
            </w:pPr>
          </w:p>
        </w:tc>
        <w:tc>
          <w:tcPr>
            <w:tcW w:w="478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r>
      <w:tr>
        <w:trPr>
          <w:trHeight w:val="18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the beginning of the period</w:t>
            </w:r>
          </w:p>
        </w:tc>
        <w:tc>
          <w:tcPr>
            <w:tcW w:w="47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20" w:type="dxa"/>
            <w:vAlign w:val="bottom"/>
            <w:shd w:val="clear" w:color="auto" w:fill="CCEEFF"/>
          </w:tcPr>
          <w:p>
            <w:pPr>
              <w:spacing w:after="0"/>
              <w:rPr>
                <w:sz w:val="15"/>
                <w:szCs w:val="15"/>
                <w:color w:val="auto"/>
              </w:rPr>
            </w:pPr>
          </w:p>
        </w:tc>
      </w:tr>
      <w:tr>
        <w:trPr>
          <w:trHeight w:val="194"/>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w:t>
            </w:r>
          </w:p>
        </w:tc>
        <w:tc>
          <w:tcPr>
            <w:tcW w:w="4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41</w:t>
            </w:r>
          </w:p>
        </w:tc>
      </w:tr>
      <w:tr>
        <w:trPr>
          <w:trHeight w:val="183"/>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the end of the period</w:t>
            </w:r>
          </w:p>
        </w:tc>
        <w:tc>
          <w:tcPr>
            <w:tcW w:w="47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543"/>
        </w:trPr>
        <w:tc>
          <w:tcPr>
            <w:tcW w:w="38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jc w:val="right"/>
              <w:ind w:right="3645"/>
              <w:spacing w:after="0"/>
              <w:rPr>
                <w:sz w:val="20"/>
                <w:szCs w:val="20"/>
                <w:color w:val="auto"/>
              </w:rPr>
            </w:pPr>
            <w:r>
              <w:rPr>
                <w:rFonts w:ascii="Times New Roman" w:cs="Times New Roman" w:eastAsia="Times New Roman" w:hAnsi="Times New Roman"/>
                <w:sz w:val="15"/>
                <w:szCs w:val="15"/>
                <w:color w:val="auto"/>
              </w:rPr>
              <w:t>F-15</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70"/>
          </w:cols>
          <w:pgMar w:left="310" w:top="301" w:right="319" w:bottom="1440" w:gutter="0" w:footer="0" w:header="0"/>
        </w:sectPr>
      </w:pPr>
    </w:p>
    <w:bookmarkStart w:id="16" w:name="page17"/>
    <w:bookmarkEnd w:id="16"/>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6.  PROPERTY, SOFTWARE AND EQUIPMENT, NET</w:t>
            </w: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1"/>
        </w:trPr>
        <w:tc>
          <w:tcPr>
            <w:tcW w:w="6320" w:type="dxa"/>
            <w:vAlign w:val="bottom"/>
          </w:tcPr>
          <w:p>
            <w:pPr>
              <w:spacing w:after="0"/>
              <w:rPr>
                <w:sz w:val="20"/>
                <w:szCs w:val="20"/>
                <w:color w:val="auto"/>
              </w:rPr>
            </w:pPr>
            <w:r>
              <w:rPr>
                <w:rFonts w:ascii="Times New Roman" w:cs="Times New Roman" w:eastAsia="Times New Roman" w:hAnsi="Times New Roman"/>
                <w:sz w:val="15"/>
                <w:szCs w:val="15"/>
                <w:color w:val="auto"/>
              </w:rPr>
              <w:t>Property, software and equipment, net, consisted of the following:</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3"/>
        </w:trPr>
        <w:tc>
          <w:tcPr>
            <w:tcW w:w="63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2"/>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2"/>
        </w:trPr>
        <w:tc>
          <w:tcPr>
            <w:tcW w:w="6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2"/>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125"/>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1"/>
        </w:trPr>
        <w:tc>
          <w:tcPr>
            <w:tcW w:w="63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Pr>
          <w:p>
            <w:pPr>
              <w:spacing w:after="0"/>
              <w:rPr>
                <w:sz w:val="17"/>
                <w:szCs w:val="17"/>
                <w:color w:val="auto"/>
              </w:rPr>
            </w:pP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5"/>
                <w:szCs w:val="15"/>
                <w:color w:val="auto"/>
              </w:rPr>
              <w:t>Cost</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5"/>
        </w:trPr>
        <w:tc>
          <w:tcPr>
            <w:tcW w:w="63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Computer software </w:t>
            </w:r>
            <w:r>
              <w:rPr>
                <w:rFonts w:ascii="Times New Roman" w:cs="Times New Roman" w:eastAsia="Times New Roman" w:hAnsi="Times New Roman"/>
                <w:sz w:val="24"/>
                <w:szCs w:val="24"/>
                <w:color w:val="auto"/>
                <w:vertAlign w:val="superscript"/>
              </w:rPr>
              <w:t>(i)</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31,534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32,332</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5"/>
                <w:szCs w:val="15"/>
                <w:color w:val="auto"/>
              </w:rPr>
              <w:t>Electronic equipment</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13,209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13,797</w:t>
            </w:r>
          </w:p>
        </w:tc>
      </w:tr>
      <w:tr>
        <w:trPr>
          <w:trHeight w:val="18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Vehicles</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828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812</w:t>
            </w:r>
          </w:p>
        </w:tc>
      </w:tr>
      <w:tr>
        <w:trPr>
          <w:trHeight w:val="180"/>
        </w:trPr>
        <w:tc>
          <w:tcPr>
            <w:tcW w:w="6320" w:type="dxa"/>
            <w:vAlign w:val="bottom"/>
          </w:tcPr>
          <w:p>
            <w:pPr>
              <w:spacing w:after="0"/>
              <w:rPr>
                <w:sz w:val="20"/>
                <w:szCs w:val="20"/>
                <w:color w:val="auto"/>
              </w:rPr>
            </w:pPr>
            <w:r>
              <w:rPr>
                <w:rFonts w:ascii="Times New Roman" w:cs="Times New Roman" w:eastAsia="Times New Roman" w:hAnsi="Times New Roman"/>
                <w:sz w:val="15"/>
                <w:szCs w:val="15"/>
                <w:color w:val="auto"/>
              </w:rPr>
              <w:t>Building</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691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710</w:t>
            </w:r>
          </w:p>
        </w:tc>
      </w:tr>
      <w:tr>
        <w:trPr>
          <w:trHeight w:val="18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Office equipment and furniture</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189</w:t>
            </w:r>
          </w:p>
        </w:tc>
      </w:tr>
      <w:tr>
        <w:trPr>
          <w:trHeight w:val="194"/>
        </w:trPr>
        <w:tc>
          <w:tcPr>
            <w:tcW w:w="632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Subtotal</w:t>
            </w:r>
          </w:p>
        </w:tc>
        <w:tc>
          <w:tcPr>
            <w:tcW w:w="23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46,469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5"/>
        </w:trPr>
        <w:tc>
          <w:tcPr>
            <w:tcW w:w="6320" w:type="dxa"/>
            <w:vAlign w:val="bottom"/>
            <w:tcBorders>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Less: accumulated depreciation</w:t>
            </w:r>
          </w:p>
        </w:tc>
        <w:tc>
          <w:tcPr>
            <w:tcW w:w="2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(18,805</w:t>
            </w:r>
          </w:p>
        </w:tc>
        <w:tc>
          <w:tcPr>
            <w:tcW w:w="140" w:type="dxa"/>
            <w:vAlign w:val="bottom"/>
            <w:tcBorders>
              <w:bottom w:val="single" w:sz="8" w:color="CCEEFF"/>
            </w:tcBorders>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(23,072</w:t>
            </w:r>
          </w:p>
        </w:tc>
        <w:tc>
          <w:tcPr>
            <w:tcW w:w="120" w:type="dxa"/>
            <w:vAlign w:val="bottom"/>
            <w:tcBorders>
              <w:bottom w:val="single" w:sz="8" w:color="CCEEFF"/>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r>
      <w:tr>
        <w:trPr>
          <w:trHeight w:val="183"/>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software and equipment, net</w:t>
            </w:r>
          </w:p>
        </w:tc>
        <w:tc>
          <w:tcPr>
            <w:tcW w:w="2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27,664</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24,768</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0"/>
        </w:trPr>
        <w:tc>
          <w:tcPr>
            <w:tcW w:w="6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270" w:hanging="270"/>
        <w:spacing w:after="0" w:line="260" w:lineRule="auto"/>
        <w:tabs>
          <w:tab w:leader="none" w:pos="27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2022 onwards, part of hybrid cloud platform developed with the assistance of a third-party cloud service provider were progressively completed and deemed substantially ready for use, and transferred from other non-current assets. Cost of hybrid cloud platform represents the purchase price of the platform and other expenditures incurred to bring the platform into its intended use. The application of the hybrid cloud platform was to improve the IT development capability for internal-used software platforms which provide auto eInsurance service and auto service to customers, and Software-As-A-Service (“SaaS”) products which are provided to business partners as technology services.</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850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 expense was $3,320 and $3,725 for the nine months ended September 30, 2024 and 2025, respectively.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500" w:type="dxa"/>
            <w:vAlign w:val="bottom"/>
          </w:tcPr>
          <w:p>
            <w:pPr>
              <w:spacing w:after="0"/>
              <w:rPr>
                <w:sz w:val="20"/>
                <w:szCs w:val="20"/>
                <w:color w:val="auto"/>
              </w:rPr>
            </w:pPr>
            <w:r>
              <w:rPr>
                <w:rFonts w:ascii="Times New Roman" w:cs="Times New Roman" w:eastAsia="Times New Roman" w:hAnsi="Times New Roman"/>
                <w:sz w:val="15"/>
                <w:szCs w:val="15"/>
                <w:color w:val="auto"/>
              </w:rPr>
              <w:t>During the nine months ended September 30, 2024 and 2025, the Group recorded no impairment loss of property, software and equipment.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5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7.  OTHER NON-CURRENT ASSETS, NET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500" w:type="dxa"/>
            <w:vAlign w:val="bottom"/>
          </w:tcPr>
          <w:p>
            <w:pPr>
              <w:spacing w:after="0"/>
              <w:rPr>
                <w:sz w:val="20"/>
                <w:szCs w:val="20"/>
                <w:color w:val="auto"/>
              </w:rPr>
            </w:pPr>
            <w:r>
              <w:rPr>
                <w:rFonts w:ascii="Times New Roman" w:cs="Times New Roman" w:eastAsia="Times New Roman" w:hAnsi="Times New Roman"/>
                <w:sz w:val="15"/>
                <w:szCs w:val="15"/>
                <w:color w:val="auto"/>
              </w:rPr>
              <w:t>Other non-current assets, net, consisted of the following: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As of</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 of</w:t>
            </w:r>
          </w:p>
        </w:tc>
        <w:tc>
          <w:tcPr>
            <w:tcW w:w="0" w:type="dxa"/>
            <w:vAlign w:val="bottom"/>
          </w:tcPr>
          <w:p>
            <w:pPr>
              <w:spacing w:after="0"/>
              <w:rPr>
                <w:sz w:val="1"/>
                <w:szCs w:val="1"/>
                <w:color w:val="auto"/>
              </w:rPr>
            </w:pPr>
          </w:p>
        </w:tc>
      </w:tr>
      <w:tr>
        <w:trPr>
          <w:trHeight w:val="192"/>
        </w:trPr>
        <w:tc>
          <w:tcPr>
            <w:tcW w:w="8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1"/>
        </w:trPr>
        <w:tc>
          <w:tcPr>
            <w:tcW w:w="8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 xml:space="preserve">Other cloud infrastructure </w:t>
            </w:r>
            <w:r>
              <w:rPr>
                <w:rFonts w:ascii="Times New Roman" w:cs="Times New Roman" w:eastAsia="Times New Roman" w:hAnsi="Times New Roman"/>
                <w:sz w:val="23"/>
                <w:szCs w:val="23"/>
                <w:color w:val="auto"/>
                <w:vertAlign w:val="superscript"/>
              </w:rPr>
              <w:t>(i)</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12,274</w:t>
            </w:r>
          </w:p>
        </w:tc>
        <w:tc>
          <w:tcPr>
            <w:tcW w:w="0" w:type="dxa"/>
            <w:vAlign w:val="bottom"/>
          </w:tcPr>
          <w:p>
            <w:pPr>
              <w:spacing w:after="0"/>
              <w:rPr>
                <w:sz w:val="1"/>
                <w:szCs w:val="1"/>
                <w:color w:val="auto"/>
              </w:rPr>
            </w:pPr>
          </w:p>
        </w:tc>
      </w:tr>
      <w:tr>
        <w:trPr>
          <w:trHeight w:val="180"/>
        </w:trPr>
        <w:tc>
          <w:tcPr>
            <w:tcW w:w="8500" w:type="dxa"/>
            <w:vAlign w:val="bottom"/>
          </w:tcPr>
          <w:p>
            <w:pPr>
              <w:spacing w:after="0"/>
              <w:rPr>
                <w:sz w:val="20"/>
                <w:szCs w:val="20"/>
                <w:color w:val="auto"/>
              </w:rPr>
            </w:pPr>
            <w:r>
              <w:rPr>
                <w:rFonts w:ascii="Times New Roman" w:cs="Times New Roman" w:eastAsia="Times New Roman" w:hAnsi="Times New Roman"/>
                <w:sz w:val="15"/>
                <w:szCs w:val="15"/>
                <w:color w:val="auto"/>
              </w:rPr>
              <w:t>Artificial intelligence platform under construction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449</w:t>
            </w:r>
          </w:p>
        </w:tc>
        <w:tc>
          <w:tcPr>
            <w:tcW w:w="0" w:type="dxa"/>
            <w:vAlign w:val="bottom"/>
          </w:tcPr>
          <w:p>
            <w:pPr>
              <w:spacing w:after="0"/>
              <w:rPr>
                <w:sz w:val="1"/>
                <w:szCs w:val="1"/>
                <w:color w:val="auto"/>
              </w:rPr>
            </w:pPr>
          </w:p>
        </w:tc>
      </w:tr>
      <w:tr>
        <w:trPr>
          <w:trHeight w:val="214"/>
        </w:trPr>
        <w:tc>
          <w:tcPr>
            <w:tcW w:w="85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Prepaid expense for cloud infrastructure support </w:t>
            </w:r>
            <w:r>
              <w:rPr>
                <w:rFonts w:ascii="Times New Roman" w:cs="Times New Roman" w:eastAsia="Times New Roman" w:hAnsi="Times New Roman"/>
                <w:sz w:val="24"/>
                <w:szCs w:val="24"/>
                <w:color w:val="auto"/>
                <w:vertAlign w:val="superscript"/>
              </w:rPr>
              <w:t>(ii)</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5,463</w:t>
            </w:r>
          </w:p>
        </w:tc>
        <w:tc>
          <w:tcPr>
            <w:tcW w:w="0" w:type="dxa"/>
            <w:vAlign w:val="bottom"/>
          </w:tcPr>
          <w:p>
            <w:pPr>
              <w:spacing w:after="0"/>
              <w:rPr>
                <w:sz w:val="1"/>
                <w:szCs w:val="1"/>
                <w:color w:val="auto"/>
              </w:rPr>
            </w:pPr>
          </w:p>
        </w:tc>
      </w:tr>
      <w:tr>
        <w:trPr>
          <w:trHeight w:val="192"/>
        </w:trPr>
        <w:tc>
          <w:tcPr>
            <w:tcW w:w="8500" w:type="dxa"/>
            <w:vAlign w:val="bottom"/>
          </w:tcPr>
          <w:p>
            <w:pPr>
              <w:spacing w:after="0"/>
              <w:rPr>
                <w:sz w:val="20"/>
                <w:szCs w:val="20"/>
                <w:color w:val="auto"/>
              </w:rPr>
            </w:pPr>
            <w:r>
              <w:rPr>
                <w:rFonts w:ascii="Times New Roman" w:cs="Times New Roman" w:eastAsia="Times New Roman" w:hAnsi="Times New Roman"/>
                <w:sz w:val="15"/>
                <w:szCs w:val="15"/>
                <w:color w:val="auto"/>
              </w:rPr>
              <w:t>Less: accumulated 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(897)</w:t>
            </w:r>
          </w:p>
        </w:tc>
        <w:tc>
          <w:tcPr>
            <w:tcW w:w="0" w:type="dxa"/>
            <w:vAlign w:val="bottom"/>
          </w:tcPr>
          <w:p>
            <w:pPr>
              <w:spacing w:after="0"/>
              <w:rPr>
                <w:sz w:val="1"/>
                <w:szCs w:val="1"/>
                <w:color w:val="auto"/>
              </w:rPr>
            </w:pPr>
          </w:p>
        </w:tc>
      </w:tr>
      <w:tr>
        <w:trPr>
          <w:trHeight w:val="23"/>
        </w:trPr>
        <w:tc>
          <w:tcPr>
            <w:tcW w:w="8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 net</w:t>
            </w: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5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17,289</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70" w:right="20" w:hanging="270"/>
        <w:spacing w:after="0" w:line="280" w:lineRule="auto"/>
        <w:tabs>
          <w:tab w:leader="none" w:pos="27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non-current assets primarily consisted of other cloud infrastructure under construction, which was not available for use as of September 30, 2025 and expected to be completed in the first quarter of 2026.</w:t>
      </w:r>
    </w:p>
    <w:p>
      <w:pPr>
        <w:spacing w:after="0" w:line="138" w:lineRule="exact"/>
        <w:rPr>
          <w:rFonts w:ascii="Times New Roman" w:cs="Times New Roman" w:eastAsia="Times New Roman" w:hAnsi="Times New Roman"/>
          <w:sz w:val="15"/>
          <w:szCs w:val="15"/>
          <w:color w:val="auto"/>
        </w:rPr>
      </w:pPr>
    </w:p>
    <w:p>
      <w:pPr>
        <w:ind w:left="270" w:hanging="270"/>
        <w:spacing w:after="0" w:line="280" w:lineRule="auto"/>
        <w:tabs>
          <w:tab w:leader="none" w:pos="27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first half of 2025, the Group paid RMB38.9 million (approximately $5.5 million) for cloud infrastructure support, which would be amortized over 3 years based on the service agreements. For the nine months ended September 30, 2024 and 2025, amortization expense was nil and $897.</w:t>
      </w:r>
    </w:p>
    <w:p>
      <w:pPr>
        <w:spacing w:after="0" w:line="31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518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7" w:name="page18"/>
    <w:bookmarkEnd w:id="17"/>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6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8.  ACCRUED EXPENSES AND OTHER LIABILITIES</w:t>
            </w: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1"/>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 and other liabilities consisted of the following:</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3"/>
        </w:trPr>
        <w:tc>
          <w:tcPr>
            <w:tcW w:w="6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2"/>
        </w:trPr>
        <w:tc>
          <w:tcPr>
            <w:tcW w:w="6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1"/>
        </w:trPr>
        <w:tc>
          <w:tcPr>
            <w:tcW w:w="6300" w:type="dxa"/>
            <w:vAlign w:val="bottom"/>
            <w:tcBorders>
              <w:bottom w:val="single" w:sz="8" w:color="CCEEFF"/>
            </w:tcBorders>
          </w:tcPr>
          <w:p>
            <w:pPr>
              <w:spacing w:after="0"/>
              <w:rPr>
                <w:sz w:val="17"/>
                <w:szCs w:val="17"/>
                <w:color w:val="auto"/>
              </w:rPr>
            </w:pPr>
          </w:p>
        </w:tc>
        <w:tc>
          <w:tcPr>
            <w:tcW w:w="2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7"/>
                <w:szCs w:val="17"/>
                <w:color w:val="auto"/>
              </w:rPr>
            </w:pPr>
          </w:p>
        </w:tc>
      </w:tr>
      <w:tr>
        <w:trPr>
          <w:trHeight w:val="203"/>
        </w:trPr>
        <w:tc>
          <w:tcPr>
            <w:tcW w:w="63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 xml:space="preserve">Contingent liabilities of GEM dispute </w:t>
            </w:r>
            <w:r>
              <w:rPr>
                <w:rFonts w:ascii="Times New Roman" w:cs="Times New Roman" w:eastAsia="Times New Roman" w:hAnsi="Times New Roman"/>
                <w:sz w:val="23"/>
                <w:szCs w:val="23"/>
                <w:color w:val="auto"/>
                <w:vertAlign w:val="superscript"/>
              </w:rPr>
              <w:t>(i)</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2,811</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Project deposits</w:t>
            </w: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1,831</w:t>
            </w: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Payroll payable</w:t>
            </w:r>
          </w:p>
        </w:tc>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769</w:t>
            </w:r>
          </w:p>
        </w:tc>
      </w:tr>
      <w:tr>
        <w:trPr>
          <w:trHeight w:val="180"/>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Value added taxes and other taxes payable</w:t>
            </w: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708</w:t>
            </w:r>
          </w:p>
        </w:tc>
      </w:tr>
      <w:tr>
        <w:trPr>
          <w:trHeight w:val="18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Subscription amount received for unvested restricted shares</w:t>
            </w:r>
          </w:p>
        </w:tc>
        <w:tc>
          <w:tcPr>
            <w:tcW w:w="2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Other accrued expenses</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1,490</w:t>
            </w:r>
          </w:p>
        </w:tc>
      </w:tr>
      <w:tr>
        <w:trPr>
          <w:trHeight w:val="18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accrued expenses and other liabilities</w:t>
            </w:r>
          </w:p>
        </w:tc>
        <w:tc>
          <w:tcPr>
            <w:tcW w:w="2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7,609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270" w:hanging="270"/>
        <w:spacing w:after="0" w:line="260" w:lineRule="auto"/>
        <w:tabs>
          <w:tab w:leader="none" w:pos="27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 arbitration proceeding held in New York involving GEM Global Yield LLC SCS and GEM Yield Bahamas Limited (collectively, “GEM”), which sought monetary damages against Auto Services Group Limited (“ASGL”) concerning an alleged breach of contractual obligations, the arbitration tribunal issued an award at the end of April 2025 (the “Award”). The Award requires ASGL to pay GEM $2.8 million plus simple interest at 9% per annum. GEM filed an application to convert the Award to a money judgment on May 9, 2025, which is currently pending enforcement. As of September 30, 2025 and the issuance date of the consolidated financial statements, this amount remains outstanding.</w:t>
      </w:r>
    </w:p>
    <w:p>
      <w:pPr>
        <w:spacing w:after="0" w:line="150" w:lineRule="exact"/>
        <w:rPr>
          <w:sz w:val="20"/>
          <w:szCs w:val="20"/>
          <w:color w:val="auto"/>
        </w:rPr>
      </w:pPr>
    </w:p>
    <w:p>
      <w:pPr>
        <w:ind w:left="270" w:hanging="270"/>
        <w:spacing w:after="0"/>
        <w:tabs>
          <w:tab w:leader="none" w:pos="270" w:val="left"/>
        </w:tabs>
        <w:numPr>
          <w:ilvl w:val="0"/>
          <w:numId w:val="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LEASES</w:t>
      </w:r>
    </w:p>
    <w:p>
      <w:pPr>
        <w:spacing w:after="0" w:line="192" w:lineRule="exact"/>
        <w:rPr>
          <w:sz w:val="20"/>
          <w:szCs w:val="20"/>
          <w:color w:val="auto"/>
        </w:rPr>
      </w:pPr>
    </w:p>
    <w:p>
      <w:pPr>
        <w:ind w:left="10"/>
        <w:spacing w:after="0" w:line="280" w:lineRule="auto"/>
        <w:rPr>
          <w:sz w:val="20"/>
          <w:szCs w:val="20"/>
          <w:color w:val="auto"/>
        </w:rPr>
      </w:pPr>
      <w:r>
        <w:rPr>
          <w:rFonts w:ascii="Times New Roman" w:cs="Times New Roman" w:eastAsia="Times New Roman" w:hAnsi="Times New Roman"/>
          <w:sz w:val="15"/>
          <w:szCs w:val="15"/>
          <w:color w:val="auto"/>
        </w:rPr>
        <w:t>The Group has entered into operating lease agreements for certain offices, which are located in PRC. The Group determines if an arrangement is a lease, or contains a lease, at inception and record the leases in the consolidated financial statements upon lease commencement, which is the date when the lessor makes the underlying asset available for use by the lessee.</w:t>
      </w:r>
    </w:p>
    <w:p>
      <w:pPr>
        <w:spacing w:after="0" w:line="1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balances for the operating leases where the Group is the lessee are presented as follows within the consolidated balance sheets:</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39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2"/>
        </w:trPr>
        <w:tc>
          <w:tcPr>
            <w:tcW w:w="39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1"/>
        </w:trPr>
        <w:tc>
          <w:tcPr>
            <w:tcW w:w="3900" w:type="dxa"/>
            <w:vAlign w:val="bottom"/>
            <w:tcBorders>
              <w:bottom w:val="single" w:sz="8" w:color="CCEEFF"/>
            </w:tcBorders>
          </w:tcPr>
          <w:p>
            <w:pPr>
              <w:spacing w:after="0"/>
              <w:rPr>
                <w:sz w:val="17"/>
                <w:szCs w:val="17"/>
                <w:color w:val="auto"/>
              </w:rPr>
            </w:pPr>
          </w:p>
        </w:tc>
        <w:tc>
          <w:tcPr>
            <w:tcW w:w="47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bottom w:val="single" w:sz="8" w:color="CCEEFF"/>
            </w:tcBorders>
          </w:tcPr>
          <w:p>
            <w:pPr>
              <w:spacing w:after="0"/>
              <w:rPr>
                <w:sz w:val="17"/>
                <w:szCs w:val="17"/>
                <w:color w:val="auto"/>
              </w:rPr>
            </w:pPr>
          </w:p>
        </w:tc>
      </w:tr>
      <w:tr>
        <w:trPr>
          <w:trHeight w:val="18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47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120" w:type="dxa"/>
            <w:vAlign w:val="bottom"/>
            <w:shd w:val="clear" w:color="auto" w:fill="CCEEFF"/>
          </w:tcPr>
          <w:p>
            <w:pPr>
              <w:spacing w:after="0"/>
              <w:rPr>
                <w:sz w:val="15"/>
                <w:szCs w:val="15"/>
                <w:color w:val="auto"/>
              </w:rPr>
            </w:pPr>
          </w:p>
        </w:tc>
      </w:tr>
      <w:tr>
        <w:trPr>
          <w:trHeight w:val="180"/>
        </w:trPr>
        <w:tc>
          <w:tcPr>
            <w:tcW w:w="3900" w:type="dxa"/>
            <w:vAlign w:val="bottom"/>
          </w:tcPr>
          <w:p>
            <w:pPr>
              <w:spacing w:after="0"/>
              <w:rPr>
                <w:sz w:val="20"/>
                <w:szCs w:val="20"/>
                <w:color w:val="auto"/>
              </w:rPr>
            </w:pPr>
            <w:r>
              <w:rPr>
                <w:rFonts w:ascii="Times New Roman" w:cs="Times New Roman" w:eastAsia="Times New Roman" w:hAnsi="Times New Roman"/>
                <w:sz w:val="15"/>
                <w:szCs w:val="15"/>
                <w:color w:val="auto"/>
              </w:rPr>
              <w:t>Lease liabilities, current</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137</w:t>
            </w:r>
          </w:p>
        </w:tc>
      </w:tr>
      <w:tr>
        <w:trPr>
          <w:trHeight w:val="21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liabilities, non-current</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32</w:t>
            </w:r>
          </w:p>
        </w:tc>
      </w:tr>
      <w:tr>
        <w:trPr>
          <w:trHeight w:val="165"/>
        </w:trPr>
        <w:tc>
          <w:tcPr>
            <w:tcW w:w="390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Total operating lease liabilities</w:t>
            </w:r>
          </w:p>
        </w:tc>
        <w:tc>
          <w:tcPr>
            <w:tcW w:w="476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565</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169</w:t>
            </w:r>
          </w:p>
        </w:tc>
        <w:tc>
          <w:tcPr>
            <w:tcW w:w="120" w:type="dxa"/>
            <w:vAlign w:val="bottom"/>
            <w:tcBorders>
              <w:top w:val="single" w:sz="8" w:color="CCEEFF"/>
            </w:tcBorders>
          </w:tcPr>
          <w:p>
            <w:pPr>
              <w:spacing w:after="0"/>
              <w:rPr>
                <w:sz w:val="14"/>
                <w:szCs w:val="14"/>
                <w:color w:val="auto"/>
              </w:rPr>
            </w:pPr>
          </w:p>
        </w:tc>
      </w:tr>
      <w:tr>
        <w:trPr>
          <w:trHeight w:val="20"/>
        </w:trPr>
        <w:tc>
          <w:tcPr>
            <w:tcW w:w="3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7"/>
        </w:trPr>
        <w:tc>
          <w:tcPr>
            <w:tcW w:w="39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2"/>
          </w:tcPr>
          <w:p>
            <w:pPr>
              <w:jc w:val="right"/>
              <w:ind w:right="2925"/>
              <w:spacing w:after="0"/>
              <w:rPr>
                <w:sz w:val="20"/>
                <w:szCs w:val="20"/>
                <w:color w:val="auto"/>
              </w:rPr>
            </w:pPr>
            <w:r>
              <w:rPr>
                <w:rFonts w:ascii="Times New Roman" w:cs="Times New Roman" w:eastAsia="Times New Roman" w:hAnsi="Times New Roman"/>
                <w:sz w:val="15"/>
                <w:szCs w:val="15"/>
                <w:color w:val="auto"/>
              </w:rPr>
              <w:t>F-17</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70"/>
          </w:cols>
          <w:pgMar w:left="310" w:top="301" w:right="31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The components of lease expenses were as follows:</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8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6"/>
          </w:tcPr>
          <w:p>
            <w:pPr>
              <w:jc w:val="center"/>
              <w:ind w:left="225"/>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5"/>
          </w:tcPr>
          <w:p>
            <w:pPr>
              <w:jc w:val="center"/>
              <w:ind w:right="32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Lease cost</w:t>
            </w:r>
          </w:p>
        </w:tc>
        <w:tc>
          <w:tcPr>
            <w:tcW w:w="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right-of-use assets</w:t>
            </w:r>
          </w:p>
        </w:tc>
        <w:tc>
          <w:tcPr>
            <w:tcW w:w="780" w:type="dxa"/>
            <w:vAlign w:val="bottom"/>
            <w:gridSpan w:val="2"/>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577</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Interest of operating lease liabilities</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Lease cost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For the nine months ended September 30, 2024 and 2025, the short-term lease expenses amounted to $110 and $121, respectively.</w:t>
            </w: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6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Other information related to leases where the Group is the lessee is as follows:</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gridSpan w:val="6"/>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6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5"/>
          </w:tcPr>
          <w:p>
            <w:pPr>
              <w:jc w:val="center"/>
              <w:ind w:right="36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620" w:type="dxa"/>
            <w:vAlign w:val="bottom"/>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3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Weighted-average remaining lease term</w:t>
            </w: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0.59</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98"/>
              </w:rPr>
              <w:t>0.17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4.30%</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auto"/>
                <w:w w:val="97"/>
              </w:rPr>
              <w:t>3.63%</w:t>
            </w:r>
          </w:p>
        </w:tc>
        <w:tc>
          <w:tcPr>
            <w:tcW w:w="0" w:type="dxa"/>
            <w:vAlign w:val="bottom"/>
          </w:tcPr>
          <w:p>
            <w:pPr>
              <w:spacing w:after="0"/>
              <w:rPr>
                <w:sz w:val="1"/>
                <w:szCs w:val="1"/>
                <w:color w:val="auto"/>
              </w:rPr>
            </w:pPr>
          </w:p>
        </w:tc>
      </w:tr>
      <w:tr>
        <w:trPr>
          <w:trHeight w:val="346"/>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As of September 30, 2025, the following is a schedule of future minimum payments under the Group’s operating leases:</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8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For the calendar year ended September 30,</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0" w:type="dxa"/>
            <w:vAlign w:val="bottom"/>
          </w:tcPr>
          <w:p>
            <w:pPr>
              <w:spacing w:after="0"/>
              <w:rPr>
                <w:sz w:val="1"/>
                <w:szCs w:val="1"/>
                <w:color w:val="auto"/>
              </w:rPr>
            </w:pPr>
          </w:p>
        </w:tc>
      </w:tr>
      <w:tr>
        <w:trPr>
          <w:trHeight w:val="180"/>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6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Total lease payments</w:t>
            </w:r>
          </w:p>
        </w:tc>
        <w:tc>
          <w:tcPr>
            <w:tcW w:w="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173</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65"/>
        </w:trPr>
        <w:tc>
          <w:tcPr>
            <w:tcW w:w="86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 w:type="dxa"/>
            <w:vAlign w:val="bottom"/>
            <w:tcBorders>
              <w:top w:val="single" w:sz="8" w:color="CCEEFF"/>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line="163"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bottom w:val="single" w:sz="8" w:color="auto"/>
            </w:tcBorders>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169</w:t>
            </w:r>
          </w:p>
        </w:tc>
        <w:tc>
          <w:tcPr>
            <w:tcW w:w="20" w:type="dxa"/>
            <w:vAlign w:val="bottom"/>
            <w:tcBorders>
              <w:top w:val="single" w:sz="8" w:color="CCEEFF"/>
              <w:bottom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 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GEM Warrant</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November 4, 2022, Auto Services Group Limited entered into a Share Purchase Agreement (the “GEM Purchase Agreement”) with GEM Global Yield LLC SCS (“GEM Investor”) and GEM Yield Bahamas Limited (“GYBL”) relating to a share subscription facility. Pursuant to the GEM Purchase Agreement, Auto Services Group Limited has the right to sell to GEM Investor up to $125 million of its ordinary shares (the “GEM Shares”) for a 36-month period following a public listing of the Group’s ordinary shares (the “Investment Period”). GEM Investor would pay 90% of the average daily closing price during the pricing period, which is a 30-day period after SunCar turns a draw-down notice to GEM Investor.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9" w:name="page20"/>
    <w:bookmarkEnd w:id="19"/>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5"/>
          <w:szCs w:val="15"/>
          <w:color w:val="auto"/>
        </w:rPr>
        <w:t>In addition, in connection with the execution of the GEM Purchase Agreement and as consideration for GEM Investor’s irrevocable commitment to purchase the GEM Shares, SunCar has agreed to make a warrant (the “GEM Warrants”) granting GYBL the right, during the Investment Period, to purchase the Group’s ordinary shares up to the equivalent of 3.3% of the total equity interests outstanding immediately after the completion of the Group’s public listing, calculated on a fully diluted basis. The exercise price of the GEM Warrant $11.50 per share in the case the Group consummates a merger transaction with GBRG, and priced customarily in the absence of the consummation of such a merger. The GEM Warrant may be exercised only on cash basis.</w:t>
      </w:r>
    </w:p>
    <w:p>
      <w:pPr>
        <w:spacing w:after="0" w:line="155"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After the Business Combination completed in May 2023, SunCar Technology Group Inc. registered the GEM Shares and GEM Warrants for the GEM Investor pursuant to GEM Purchase Agreement. As of September 30, 2025, the Company did not sell any ordinary shares to GEM Investor pursuant to GEM Purchase Agreement. The Company issued 2,839,951 GEM Warrants with the exercise price of $11.50 per share. Each GEM Warrant is entitled to purchase one Class A Ordinary Share. The GEM Warrants were exercisable from May 17, 2023, and shall expire on the date of the third anniversary of the public listing date.</w:t>
      </w:r>
    </w:p>
    <w:p>
      <w:pPr>
        <w:spacing w:after="0" w:line="154"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The GEM Warrant met the criteria for equity classification. Pursuant to GEM Purchase Agreement, the GEM Warrants were issued as consideration for GEM Investor’s irrevocable commitment to purchase the GEM Shares, and thus, the initial fair value of the warrants was recorded as prepaid financing expense, which was amortized within the Investment Period commencing from May 17, 2023 to May 17, 2026. The Group recognized financing expense of $455 and $453 for the nine months ended September 30, 2024 and 2025.</w:t>
      </w:r>
    </w:p>
    <w:p>
      <w:pPr>
        <w:spacing w:after="0" w:line="1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color w:val="auto"/>
        </w:rPr>
        <w:t>Public Warrant and Private Warrant</w:t>
      </w:r>
    </w:p>
    <w:p>
      <w:pPr>
        <w:spacing w:after="0" w:line="190"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In connection with the Business Combination, the Company has assumed 6,100,000 warrants outstanding, which consisted of: (i) 5,750,000 warrants (the “Public Warrants”) with each Public Warrant exercisable to purchase one-half (1/2) of one Class A Ordinary Share at a price of $11.50 per share, such Public Warrants originally issued in the initial public offering of Goldenbridge by holders, and (ii) 350,000 warrants (the “Private Warrants”) with each Private Warrant exercisable to purchase one-half (1/2) of one Class A Ordinary Share at a price of $11.50 per share, such Private Warrants originally issued in a private placement by Goldenbridge in connection with the initial public offering of GBRG by the holders.</w:t>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When the Public Warrants are exercisable, the Company may redeem the Public Warrants in whole, and not in part, at a price of $0.01 per warrant:</w:t>
      </w:r>
    </w:p>
    <w:p>
      <w:pPr>
        <w:spacing w:after="0" w:line="188" w:lineRule="exact"/>
        <w:rPr>
          <w:sz w:val="20"/>
          <w:szCs w:val="20"/>
          <w:color w:val="auto"/>
        </w:rPr>
      </w:pPr>
    </w:p>
    <w:p>
      <w:pPr>
        <w:jc w:val="both"/>
        <w:ind w:left="270" w:hanging="270"/>
        <w:spacing w:after="0" w:line="265" w:lineRule="auto"/>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only if the last reported sales price of the Class A Ordinary Shares equals or exceeds $16.50 per share (subject to adjustment for splits, dividends, recapitalizations and other similar events) for any 20 trading days within a 30-trading day period ending on the third business day prior to the date on which the Company send the notice of redemption to the warrant holders.</w:t>
      </w:r>
    </w:p>
    <w:p>
      <w:pPr>
        <w:spacing w:after="0" w:line="149"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 minimum of 30 day’s prior written notice of redemption.</w:t>
      </w:r>
    </w:p>
    <w:p>
      <w:pPr>
        <w:spacing w:after="0" w:line="3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518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If the foregoing conditions are satisfied and the Company would issue a notice of redemption, each Public Warrant holder can exercise his, her or its warrant prior to the scheduled redemption date. However, the price of the ordinary shares may fall below the $16.50 trigger price as well as the $11.50 warrant exercise price per full share after the redemption notice is issued and not limit our ability to complete the redemption.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redemption criteria for the Public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the Company’s redemption call, the redemption will not cause the share price to drop below the exercise price of the warrants.</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Except as described below, the Private Warrants have terms and provisions that are identical to the Public Warrants. The Private Warrants will be non-redeemable and may be exercised on a cashless basis, in each case so long as they continue to be held by the initial purchaser or their permitted transferees.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exercise period of Public Warrants and Private Warrants commence on the later to occur of (i) the completion of the Company’s initial business combination and (ii)12 months following the closing of the Public Offering of GBRG, and terminating on earlier to occur if (i) five years after the completion of the initial business combination (May 17, 2028), and (ii) the date fixed for redemption of the Warrants.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Public Warrants met the criteria for equity classification and are recorded as additional paid-in capital on the Consolidated Balance Sheet at the completion of the Business Combination. The Private Warrants contain exercise and settlement features that may change with a change in the holder, which precludes the Private Warrants from being indexed to the Company’s own stock. Therefore, the Private Warrants are recognized as warrant liabilities on Consolidated Balance Sheet at fair value, with subsequent changes in fair value recognized in the Consolidated Statement of Operations and Comprehensive Loss at each reporting date until exercised.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Warrant issued in the Follow-on Offering</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As part of the Follow-on Offering, the Company agreed to issue to the Institutional Investors certain common warrants (“Common Warrants”) for the purchase of up to 3,850,857 Ordinary Shares at an exercise price of $9.00 per share. The Warrants are exercisable immediately after October 30, 2023, the date of issuance and will have a term of five years therefrom.</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1" w:name="page22"/>
    <w:bookmarkEnd w:id="21"/>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5"/>
          <w:szCs w:val="15"/>
          <w:color w:val="auto"/>
        </w:rPr>
        <w:t>The Company also entered into Placement Agency Agreement dated October 26, 2023 (the “Placement Agency Agreement”) with FT Global Capital, Inc., to act as exclusive placement agent in connection with the Follow-on Offering (the “Placement Agent”). The Company agreed to pay the Placement Agent a cash fee equal to 7.5% of the gross proceeds raised in the Follow-on Offering. In addition, the Company agreed to issue to the Placement Agent warrants (“PA Warrants”) to purchase a number of Ordinary Shares equal to 1% of the aggregate number of Ordinary Shares sold in the Follow-on Offering, at an exercise price equal to $10.225 per share. The number of PA Warrants issued to FT Global Capital, Inc was 25,672.</w:t>
      </w:r>
    </w:p>
    <w:p>
      <w:pPr>
        <w:spacing w:after="0" w:line="154"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The Common Warrants and PA Warrants met the criteria for equity classification. The fair value of the Common Warrants and PA Warrants were of $17,739, valued based on the Black-Scholes-Merton model and is recorded as additional paid-in capital from common stock on the relative fair value of net proceeds received.</w:t>
      </w:r>
    </w:p>
    <w:p>
      <w:pPr>
        <w:spacing w:after="0" w:line="13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table summarizes the assumptions of the initial fair value of warrants under Black-Scholes-Merton model:</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5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Public</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Warrants</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and</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0"/>
        </w:trPr>
        <w:tc>
          <w:tcPr>
            <w:tcW w:w="5880" w:type="dxa"/>
            <w:vAlign w:val="bottom"/>
          </w:tcPr>
          <w:p>
            <w:pPr>
              <w:spacing w:after="0"/>
              <w:rPr>
                <w:sz w:val="15"/>
                <w:szCs w:val="15"/>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GEM</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Private</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PA</w:t>
            </w:r>
          </w:p>
        </w:tc>
      </w:tr>
      <w:tr>
        <w:trPr>
          <w:trHeight w:val="201"/>
        </w:trPr>
        <w:tc>
          <w:tcPr>
            <w:tcW w:w="5880" w:type="dxa"/>
            <w:vAlign w:val="bottom"/>
          </w:tcPr>
          <w:p>
            <w:pPr>
              <w:spacing w:after="0"/>
              <w:rPr>
                <w:sz w:val="17"/>
                <w:szCs w:val="17"/>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Warrants</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Warrants</w:t>
            </w:r>
          </w:p>
        </w:tc>
      </w:tr>
      <w:tr>
        <w:trPr>
          <w:trHeight w:val="18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40" w:type="dxa"/>
            <w:vAlign w:val="bottom"/>
            <w:tcBorders>
              <w:top w:val="single" w:sz="8" w:color="CCEEFF"/>
            </w:tcBorders>
            <w:shd w:val="clear" w:color="auto" w:fill="CCEEFF"/>
          </w:tcPr>
          <w:p>
            <w:pPr>
              <w:spacing w:after="0"/>
              <w:rPr>
                <w:sz w:val="15"/>
                <w:szCs w:val="15"/>
                <w:color w:val="auto"/>
              </w:rPr>
            </w:pPr>
          </w:p>
        </w:tc>
      </w:tr>
      <w:tr>
        <w:trPr>
          <w:trHeight w:val="180"/>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59.84%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59.84%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63.84%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63.84%</w:t>
            </w:r>
          </w:p>
        </w:tc>
      </w:tr>
      <w:tr>
        <w:trPr>
          <w:trHeight w:val="18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interest rate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3.94%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4.80%</w:t>
            </w:r>
          </w:p>
        </w:tc>
      </w:tr>
      <w:tr>
        <w:trPr>
          <w:trHeight w:val="194"/>
        </w:trPr>
        <w:tc>
          <w:tcPr>
            <w:tcW w:w="5880" w:type="dxa"/>
            <w:vAlign w:val="bottom"/>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r>
    </w:tbl>
    <w:p>
      <w:pPr>
        <w:spacing w:after="0" w:line="150" w:lineRule="exact"/>
        <w:rPr>
          <w:sz w:val="20"/>
          <w:szCs w:val="20"/>
          <w:color w:val="auto"/>
        </w:rPr>
      </w:pPr>
    </w:p>
    <w:p>
      <w:pPr>
        <w:ind w:left="270" w:hanging="270"/>
        <w:spacing w:after="0"/>
        <w:tabs>
          <w:tab w:leader="none" w:pos="270"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Expected term (in years)</w:t>
      </w:r>
    </w:p>
    <w:p>
      <w:pPr>
        <w:spacing w:after="0" w:line="190" w:lineRule="exact"/>
        <w:rPr>
          <w:rFonts w:ascii="Times New Roman" w:cs="Times New Roman" w:eastAsia="Times New Roman" w:hAnsi="Times New Roman"/>
          <w:sz w:val="15"/>
          <w:szCs w:val="15"/>
          <w:i w:val="1"/>
          <w:iCs w:val="1"/>
          <w:color w:val="auto"/>
        </w:rPr>
      </w:pPr>
    </w:p>
    <w:p>
      <w:pPr>
        <w:ind w:left="270"/>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Expected term (in years) of the warrants is extracted from warrant agreements.</w:t>
      </w:r>
    </w:p>
    <w:p>
      <w:pPr>
        <w:spacing w:after="0" w:line="186" w:lineRule="exact"/>
        <w:rPr>
          <w:rFonts w:ascii="Times New Roman" w:cs="Times New Roman" w:eastAsia="Times New Roman" w:hAnsi="Times New Roman"/>
          <w:sz w:val="15"/>
          <w:szCs w:val="15"/>
          <w:i w:val="1"/>
          <w:iCs w:val="1"/>
          <w:color w:val="auto"/>
        </w:rPr>
      </w:pPr>
    </w:p>
    <w:p>
      <w:pPr>
        <w:ind w:left="270" w:hanging="270"/>
        <w:spacing w:after="0"/>
        <w:tabs>
          <w:tab w:leader="none" w:pos="270"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Volatility</w:t>
      </w:r>
    </w:p>
    <w:p>
      <w:pPr>
        <w:spacing w:after="0" w:line="190" w:lineRule="exact"/>
        <w:rPr>
          <w:rFonts w:ascii="Times New Roman" w:cs="Times New Roman" w:eastAsia="Times New Roman" w:hAnsi="Times New Roman"/>
          <w:sz w:val="15"/>
          <w:szCs w:val="15"/>
          <w:i w:val="1"/>
          <w:iCs w:val="1"/>
          <w:color w:val="auto"/>
        </w:rPr>
      </w:pPr>
    </w:p>
    <w:p>
      <w:pPr>
        <w:ind w:left="270"/>
        <w:spacing w:after="0" w:line="280" w:lineRule="auto"/>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The volatility of the underlying ordinary shares during the lives of the warrants was estimated based on the historical stock price volatility of comparable listed companies over a period comparable to the expected term of the options.</w:t>
      </w:r>
    </w:p>
    <w:p>
      <w:pPr>
        <w:spacing w:after="0" w:line="136" w:lineRule="exact"/>
        <w:rPr>
          <w:rFonts w:ascii="Times New Roman" w:cs="Times New Roman" w:eastAsia="Times New Roman" w:hAnsi="Times New Roman"/>
          <w:sz w:val="15"/>
          <w:szCs w:val="15"/>
          <w:i w:val="1"/>
          <w:iCs w:val="1"/>
          <w:color w:val="auto"/>
        </w:rPr>
      </w:pPr>
    </w:p>
    <w:p>
      <w:pPr>
        <w:ind w:left="270" w:hanging="270"/>
        <w:spacing w:after="0"/>
        <w:tabs>
          <w:tab w:leader="none" w:pos="270"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Risk-free interest rate</w:t>
      </w:r>
    </w:p>
    <w:p>
      <w:pPr>
        <w:spacing w:after="0" w:line="190" w:lineRule="exact"/>
        <w:rPr>
          <w:rFonts w:ascii="Times New Roman" w:cs="Times New Roman" w:eastAsia="Times New Roman" w:hAnsi="Times New Roman"/>
          <w:sz w:val="15"/>
          <w:szCs w:val="15"/>
          <w:i w:val="1"/>
          <w:iCs w:val="1"/>
          <w:color w:val="auto"/>
        </w:rPr>
      </w:pPr>
    </w:p>
    <w:p>
      <w:pPr>
        <w:ind w:left="270"/>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Risk-free interest rate was estimated based on the daily treasury long term rate of the U.S. Treasury Department with a maturity period close to the expected term of the warrants.</w:t>
      </w:r>
    </w:p>
    <w:p>
      <w:pPr>
        <w:spacing w:after="0" w:line="186" w:lineRule="exact"/>
        <w:rPr>
          <w:rFonts w:ascii="Times New Roman" w:cs="Times New Roman" w:eastAsia="Times New Roman" w:hAnsi="Times New Roman"/>
          <w:sz w:val="15"/>
          <w:szCs w:val="15"/>
          <w:i w:val="1"/>
          <w:iCs w:val="1"/>
          <w:color w:val="auto"/>
        </w:rPr>
      </w:pPr>
    </w:p>
    <w:p>
      <w:pPr>
        <w:ind w:left="270" w:hanging="270"/>
        <w:spacing w:after="0"/>
        <w:tabs>
          <w:tab w:leader="none" w:pos="270" w:val="left"/>
        </w:tabs>
        <w:numPr>
          <w:ilvl w:val="0"/>
          <w:numId w:val="12"/>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Dividend yield</w:t>
      </w:r>
    </w:p>
    <w:p>
      <w:pPr>
        <w:spacing w:after="0" w:line="190" w:lineRule="exact"/>
        <w:rPr>
          <w:rFonts w:ascii="Times New Roman" w:cs="Times New Roman" w:eastAsia="Times New Roman" w:hAnsi="Times New Roman"/>
          <w:sz w:val="15"/>
          <w:szCs w:val="15"/>
          <w:i w:val="1"/>
          <w:iCs w:val="1"/>
          <w:color w:val="auto"/>
        </w:rPr>
      </w:pPr>
    </w:p>
    <w:p>
      <w:pPr>
        <w:ind w:left="270"/>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The dividend yield was estimated by the Group based on its expected dividend policy over the expected term of the warrants.</w:t>
      </w:r>
    </w:p>
    <w:p>
      <w:pPr>
        <w:spacing w:after="0" w:line="3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518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22" w:name="page23"/>
    <w:bookmarkEnd w:id="22"/>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The table summarizes the status of warrants outstanding and exercisable as of September 30, 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3"/>
        </w:trPr>
        <w:tc>
          <w:tcPr>
            <w:tcW w:w="8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Weighted</w:t>
            </w:r>
          </w:p>
        </w:tc>
      </w:tr>
      <w:tr>
        <w:trPr>
          <w:trHeight w:val="180"/>
        </w:trPr>
        <w:tc>
          <w:tcPr>
            <w:tcW w:w="8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201"/>
        </w:trPr>
        <w:tc>
          <w:tcPr>
            <w:tcW w:w="866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Exercise Price</w:t>
            </w:r>
          </w:p>
        </w:tc>
      </w:tr>
      <w:tr>
        <w:trPr>
          <w:trHeight w:val="180"/>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 outstanding, as of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12,431,674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10.72</w:t>
            </w: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Warrants exercisable, as of December 31, 2024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12,431,674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10.72</w:t>
            </w:r>
          </w:p>
        </w:tc>
      </w:tr>
      <w:tr>
        <w:trPr>
          <w:trHeight w:val="18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Expired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5"/>
        </w:trPr>
        <w:tc>
          <w:tcPr>
            <w:tcW w:w="866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Warrants outstanding, as of September 30, 2025</w:t>
            </w: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12,431,674</w:t>
            </w:r>
          </w:p>
        </w:tc>
        <w:tc>
          <w:tcPr>
            <w:tcW w:w="100" w:type="dxa"/>
            <w:vAlign w:val="bottom"/>
            <w:tcBorders>
              <w:top w:val="single" w:sz="8" w:color="CCEEFF"/>
              <w:bottom w:val="single" w:sz="8" w:color="CCEEFF"/>
            </w:tcBorders>
          </w:tcPr>
          <w:p>
            <w:pPr>
              <w:spacing w:after="0"/>
              <w:rPr>
                <w:sz w:val="14"/>
                <w:szCs w:val="14"/>
                <w:color w:val="auto"/>
              </w:rPr>
            </w:pP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10.72</w:t>
            </w:r>
          </w:p>
        </w:tc>
        <w:tc>
          <w:tcPr>
            <w:tcW w:w="120" w:type="dxa"/>
            <w:vAlign w:val="bottom"/>
            <w:tcBorders>
              <w:top w:val="single" w:sz="8" w:color="CCEEFF"/>
              <w:bottom w:val="single" w:sz="8" w:color="CCEEFF"/>
            </w:tcBorders>
          </w:tcPr>
          <w:p>
            <w:pPr>
              <w:spacing w:after="0"/>
              <w:rPr>
                <w:sz w:val="14"/>
                <w:szCs w:val="14"/>
                <w:color w:val="auto"/>
              </w:rPr>
            </w:pPr>
          </w:p>
        </w:tc>
      </w:tr>
      <w:tr>
        <w:trPr>
          <w:trHeight w:val="183"/>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 exercisable, as of September 30,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12,431,674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10.72</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0"/>
        </w:trPr>
        <w:tc>
          <w:tcPr>
            <w:tcW w:w="8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10"/>
        <w:spacing w:after="0" w:line="280" w:lineRule="auto"/>
        <w:rPr>
          <w:sz w:val="20"/>
          <w:szCs w:val="20"/>
          <w:color w:val="auto"/>
        </w:rPr>
      </w:pPr>
      <w:r>
        <w:rPr>
          <w:rFonts w:ascii="Times New Roman" w:cs="Times New Roman" w:eastAsia="Times New Roman" w:hAnsi="Times New Roman"/>
          <w:sz w:val="15"/>
          <w:szCs w:val="15"/>
          <w:color w:val="auto"/>
        </w:rPr>
        <w:t>As of September 30, 2025, the Company had 12,431,674 warrants outstanding to purchase 9,574,077 Class A Ordinary Shares with weighted average exercise price of $10.72 per share and remaining contractual lives of 2.31 years.</w:t>
      </w:r>
    </w:p>
    <w:p>
      <w:pPr>
        <w:spacing w:after="0" w:line="1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11. SHARE-BASED COMPENSATION</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i w:val="1"/>
          <w:iCs w:val="1"/>
          <w:color w:val="auto"/>
        </w:rPr>
        <w:t>Earnout Shares</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consideration for the Business Combination included earnout share to the management as follows (“Earnout Shares”):</w:t>
      </w:r>
    </w:p>
    <w:p>
      <w:pPr>
        <w:spacing w:after="0" w:line="188" w:lineRule="exact"/>
        <w:rPr>
          <w:sz w:val="20"/>
          <w:szCs w:val="20"/>
          <w:color w:val="auto"/>
        </w:rPr>
      </w:pPr>
    </w:p>
    <w:p>
      <w:pPr>
        <w:ind w:left="270" w:right="20" w:hanging="270"/>
        <w:spacing w:after="0" w:line="280" w:lineRule="auto"/>
        <w:tabs>
          <w:tab w:leader="none" w:pos="27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1,600,000 Class A Ordinary Shares if the Group’s revenue equals or exceeds $258,000 for the fiscal year ending December 31, 2022, as reflected on the audited consolidated financial statements of the Company as of and for the fiscal year ended December 31, 2022;</w:t>
      </w:r>
    </w:p>
    <w:p>
      <w:pPr>
        <w:spacing w:after="0" w:line="138" w:lineRule="exact"/>
        <w:rPr>
          <w:rFonts w:ascii="Times New Roman" w:cs="Times New Roman" w:eastAsia="Times New Roman" w:hAnsi="Times New Roman"/>
          <w:sz w:val="15"/>
          <w:szCs w:val="15"/>
          <w:color w:val="auto"/>
        </w:rPr>
      </w:pPr>
    </w:p>
    <w:p>
      <w:pPr>
        <w:ind w:left="270" w:right="20" w:hanging="270"/>
        <w:spacing w:after="0" w:line="280" w:lineRule="auto"/>
        <w:tabs>
          <w:tab w:leader="none" w:pos="27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1,600,000 Class A Ordinary Shares if the Group’s revenue equals or exceeds $352,000 for the fiscal year ending December 31, 2023, as reflected on the audited consolidated financial statements of the Company as of and for the fiscal year ended December 31, 2023; and;</w:t>
      </w:r>
    </w:p>
    <w:p>
      <w:pPr>
        <w:spacing w:after="0" w:line="138" w:lineRule="exact"/>
        <w:rPr>
          <w:rFonts w:ascii="Times New Roman" w:cs="Times New Roman" w:eastAsia="Times New Roman" w:hAnsi="Times New Roman"/>
          <w:sz w:val="15"/>
          <w:szCs w:val="15"/>
          <w:color w:val="auto"/>
        </w:rPr>
      </w:pPr>
    </w:p>
    <w:p>
      <w:pPr>
        <w:ind w:left="270" w:right="20" w:hanging="270"/>
        <w:spacing w:after="0" w:line="280" w:lineRule="auto"/>
        <w:tabs>
          <w:tab w:leader="none" w:pos="27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1,600,000 Class A Ordinary Shares if the Group’s revenue equals or exceeds $459,000 for the fiscal year ending December 31, 2024, as reflected on the audited consolidated financial statements of the Company as of and for the fiscal year ended December 31, 2024.</w:t>
      </w:r>
    </w:p>
    <w:p>
      <w:pPr>
        <w:spacing w:after="0" w:line="138"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5"/>
          <w:szCs w:val="15"/>
          <w:color w:val="auto"/>
        </w:rPr>
        <w:t>The Business Combination was completed on May 17, 2023. The Earnout Shares related to the performance condition in 2022, attributable to pre-combination vesting, is substantially part of the consideration in the exchange for the Company. The Earnout Shares related to business performance in 2023 and 2024 are accounted for as share-based compensation under ASC718, using the graded vesting method over the applicable vesting period based on the fair value of the Earnout Shares of $6.11 per share on the grant date.</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For the nine months ended September 30, 2024 and 2025, the Group recognized share-based compensation expense related to Earnout Shares of nil and nil.</w:t>
      </w:r>
    </w:p>
    <w:p>
      <w:pPr>
        <w:spacing w:after="0" w:line="3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518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2024 Equity Incentive Plan</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On March 28, 2024, the board of directors of the Company approved 2024 Equity Incentive Plan (the “2024 Plan”). Under the 2024 Plan, the maximum aggregate number of Class A ordinary shares that may be issued pursuant to the awards shall be 8,800,000 shares.</w:t>
      </w:r>
    </w:p>
    <w:p>
      <w:pPr>
        <w:spacing w:after="0" w:line="1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All of the 8,800,000 shares have been issued to employees. The shares were fully vested upon granted. The shares issued under 2024 Plan are accounted for as share-based compensation under ASC718 based on the fair value of the ordinary shares of $7.05 per share on the grant date. For the nine months ended September 30, 2024, the Company recognized share-based compensation expenses of $62,040.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Share-based compensation of a subsidiary</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September 9, 2020, the shareholders of Shengda Automobile, a subsidiary of SunCar, approved and adopted the Share Incentive Plan (the “2020 Plan”), under which eligible employees were granted 2,500,000 of restricted ordinary shares of Shanghai Shengda to award eligible employees’ contribution of the expansion of Shengda Automobile, at the price of RMB4.2 per share (“Restricted Shares”).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restricted ordinary shares are subject to an annual vesting schedule that vests 20% of granted restricted shares over the next five years as the employees are required to provide services for a total of 60 months to earn the award. The employees have made full subscription payment of $1,553 during the year ended December 31, 2020. Upon termination, the unvested restricted shares are forfeited and the prepaid subscription amount for the unvested portion shall be returned to the employees.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These restricted ordinary shares were considered as nonvested shares under the definition of ASC 718-10-20. The fair value of the Shares at the grant date was RMB25.71 ($3.94) per share, which was determined based on the purchase price of the financial offering of the same securities with external institutional investors. The Group accounts for forfeitures as a reduction of stock-based compensation expense when the forfeiture actually occurs.</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Company recognizes compensation expenses related to those restricted shares on a straight-line basis over the vesting periods. $1,121 and $1,117 of compensation expenses were recorded for the nine months ended September 30, 2024 and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September 30, 2025, all restricted ordinary shares had fully vested and the unrecognized compensation expense related to restricted shares amounted to nil.</w:t>
      </w:r>
    </w:p>
    <w:p>
      <w:pPr>
        <w:spacing w:after="0" w:line="1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The 2020 Plan was carried out in the way that eligible employees indirectly hold shares of Shanghai Shengda by holding shares of Jingning Shengjing Enterprise Management Partnership (Limited Partnership) (“Shareholding Platform”) as the general partner and limited partner of the Shareholding Platform.</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Acquisition of non-controlling interests</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For the nine months ended September 30, 2025, Suncar Online acquired 0.6% of equity interest of Shengda Automobile from non-controlling shareholders at the consideration of $2,214. The Group derecognized non-controlling interest of $1,293, and the difference between the purchase price and the carrying amount of the proportional net assets that acquired from non-controlling shareholders was charged against additional paid-in capital, which was $921.</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Issuance of ordinary shares</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February 5, 2025, the Company entered into an underwriting agreement with BTIG, LLC as the representative of the underwriters named therein, to issue and sell 7,142,858 Class A ordinary shares for total expected gross proceeds of approximately $50 million before underwriting discounts and commissions and offering expenses. The issuance was completed on February 7, 2025, the proceeds from issuance of ordinary shares, net of offering costs, amounted to approximately $41.6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Shares Repurchase from public market</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On February 7, 2025, the Company announced that its board of directors has authorized a share repurchase program (the “Share Repurchase Program”) to buy back up to $30 million of its outstanding Class A ordinary shares.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repurchase activity under the Share Repurchase Program from inception through September 30,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4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Average price</w:t>
            </w:r>
          </w:p>
        </w:tc>
      </w:tr>
      <w:tr>
        <w:trPr>
          <w:trHeight w:val="180"/>
        </w:trPr>
        <w:tc>
          <w:tcPr>
            <w:tcW w:w="34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Total 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paid per</w:t>
            </w:r>
          </w:p>
        </w:tc>
      </w:tr>
      <w:tr>
        <w:trPr>
          <w:trHeight w:val="180"/>
        </w:trPr>
        <w:tc>
          <w:tcPr>
            <w:tcW w:w="34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Class A</w:t>
            </w:r>
          </w:p>
        </w:tc>
      </w:tr>
      <w:tr>
        <w:trPr>
          <w:trHeight w:val="180"/>
        </w:trPr>
        <w:tc>
          <w:tcPr>
            <w:tcW w:w="34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Ordinary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Ordinary</w:t>
            </w:r>
          </w:p>
        </w:tc>
      </w:tr>
      <w:tr>
        <w:trPr>
          <w:trHeight w:val="201"/>
        </w:trPr>
        <w:tc>
          <w:tcPr>
            <w:tcW w:w="34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shares purchased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share</w:t>
            </w:r>
          </w:p>
        </w:tc>
      </w:tr>
      <w:tr>
        <w:trPr>
          <w:trHeight w:val="162"/>
        </w:trPr>
        <w:tc>
          <w:tcPr>
            <w:tcW w:w="3440" w:type="dxa"/>
            <w:vAlign w:val="bottom"/>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Periods</w:t>
            </w:r>
          </w:p>
        </w:tc>
        <w:tc>
          <w:tcPr>
            <w:tcW w:w="5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8"/>
        </w:trPr>
        <w:tc>
          <w:tcPr>
            <w:tcW w:w="3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February 2025:</w:t>
            </w:r>
          </w:p>
        </w:tc>
        <w:tc>
          <w:tcPr>
            <w:tcW w:w="5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1"/>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 market purchases</w:t>
            </w:r>
          </w:p>
        </w:tc>
        <w:tc>
          <w:tcPr>
            <w:tcW w:w="6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1,644,809</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4.99</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March 2025:</w:t>
            </w:r>
          </w:p>
        </w:tc>
        <w:tc>
          <w:tcPr>
            <w:tcW w:w="5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 market purchases</w:t>
            </w:r>
          </w:p>
        </w:tc>
        <w:tc>
          <w:tcPr>
            <w:tcW w:w="6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1,160,258</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4.80</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April 2025:</w:t>
            </w:r>
          </w:p>
        </w:tc>
        <w:tc>
          <w:tcPr>
            <w:tcW w:w="5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 market purchases</w:t>
            </w:r>
          </w:p>
        </w:tc>
        <w:tc>
          <w:tcPr>
            <w:tcW w:w="6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586,036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3.17</w:t>
            </w:r>
          </w:p>
        </w:tc>
      </w:t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May 2025:</w:t>
            </w:r>
          </w:p>
        </w:tc>
        <w:tc>
          <w:tcPr>
            <w:tcW w:w="5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 market purchases</w:t>
            </w:r>
          </w:p>
        </w:tc>
        <w:tc>
          <w:tcPr>
            <w:tcW w:w="5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47,454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2.74</w:t>
            </w:r>
          </w:p>
        </w:tc>
      </w:tr>
      <w:tr>
        <w:trPr>
          <w:trHeight w:val="205"/>
        </w:trPr>
        <w:tc>
          <w:tcPr>
            <w:tcW w:w="34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3,438,557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7"/>
        </w:trPr>
        <w:tc>
          <w:tcPr>
            <w:tcW w:w="34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3"/>
          </w:tcPr>
          <w:p>
            <w:pPr>
              <w:ind w:left="2040"/>
              <w:spacing w:after="0"/>
              <w:rPr>
                <w:sz w:val="20"/>
                <w:szCs w:val="20"/>
                <w:color w:val="auto"/>
              </w:rPr>
            </w:pPr>
            <w:r>
              <w:rPr>
                <w:rFonts w:ascii="Times New Roman" w:cs="Times New Roman" w:eastAsia="Times New Roman" w:hAnsi="Times New Roman"/>
                <w:sz w:val="15"/>
                <w:szCs w:val="15"/>
                <w:color w:val="auto"/>
              </w:rPr>
              <w:t>F-24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TAXATION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Cayman Islands</w:t>
      </w:r>
    </w:p>
    <w:p>
      <w:pPr>
        <w:spacing w:after="0" w:line="1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Under the current laws of the Cayman Islands, the Group is not subject to tax on income or capital gain. Additionally, upon payments of dividends to the shareholders, no Cayman Islands withholding tax will be imposed.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Hong Kong</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According to Tax (Amendment) (No. 3) Ordinance 2018 published by Hong Kong government, form April 1, 2018, under the two-tiered profits tax rates regime, the profits tax rate for the first HKD 2 million of assessable profits will be lowered to 8.25% (half of the rate specified in Schedule 8 to the Inland Revenue Ordinance (IRO)) for corporations. China Auto Market was not subject to Hong Kong profit tax for any period presented as it did not have assessable profit during the periods presented.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PRC</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Generally, the Group’s subsidiaries, which are considered PRC resident enterprises under PRC tax law, are subject to enterprise income tax (“EIT”) on their worldwide taxable income as determined under PRC tax laws and accounting standards at a rate of 25%. EIT grants preferential tax treatment to High and New Technology Enterprises (“HNTEs”) at a rate of 15%, subject to a requirement that they re-apply for HNTE status every three years. The Group’s subsidiaries, Shengda Automobile and Shanghai Chengle Network Technology Co., Ltd. were approved as a HNTE and is entitled to a reduced income tax rate of 15% beginning November 2018 and renewing the HNTE in December 2021 and December 2024. The certificate is valid for three years.</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According to Taxation [2022] No. 13 which was effective from January 1, 2022 to December 31, 2024, a small-scale and low-profit enterprise receives a tax preference including a preferential tax rate of 5% on its taxable income between RMB1 million and RMB3 million. According to Taxation [2023] No. 06 which was effective from January 1, 2023 to December 31, 2024, a small-scale and low-profit enterprise receives a tax preference including a preferential tax rate of 5% on its taxable income below RMB1 million. According to Taxation [2023] No. 12 which was effective from January 1, 2023 to December 31, 2027, a small-scale and low-profit enterprise receives a tax preference including a preferential tax rate of 5% on its taxable income below RMB3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income tax benefit consisted of the following components:</w:t>
      </w:r>
    </w:p>
    <w:p>
      <w:pPr>
        <w:spacing w:after="0" w:line="184"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spacing w:after="0" w:line="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00" w:type="dxa"/>
            <w:vAlign w:val="bottom"/>
            <w:tcBorders>
              <w:bottom w:val="single" w:sz="8" w:color="CCEEFF"/>
            </w:tcBorders>
          </w:tcPr>
          <w:p>
            <w:pPr>
              <w:spacing w:after="0"/>
              <w:rPr>
                <w:sz w:val="17"/>
                <w:szCs w:val="17"/>
                <w:color w:val="auto"/>
              </w:rPr>
            </w:pPr>
          </w:p>
        </w:tc>
        <w:tc>
          <w:tcPr>
            <w:tcW w:w="50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7"/>
                <w:szCs w:val="17"/>
                <w:color w:val="auto"/>
              </w:rPr>
            </w:pPr>
          </w:p>
        </w:tc>
      </w:tr>
      <w:tr>
        <w:trPr>
          <w:trHeight w:val="18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income tax expenses</w:t>
            </w:r>
          </w:p>
        </w:tc>
        <w:tc>
          <w:tcPr>
            <w:tcW w:w="50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1,467</w:t>
            </w:r>
          </w:p>
        </w:tc>
        <w:tc>
          <w:tcPr>
            <w:tcW w:w="120" w:type="dxa"/>
            <w:vAlign w:val="bottom"/>
            <w:shd w:val="clear" w:color="auto" w:fill="CCEEFF"/>
          </w:tcPr>
          <w:p>
            <w:pPr>
              <w:spacing w:after="0"/>
              <w:rPr>
                <w:sz w:val="15"/>
                <w:szCs w:val="15"/>
                <w:color w:val="auto"/>
              </w:rPr>
            </w:pPr>
          </w:p>
        </w:tc>
      </w:tr>
      <w:tr>
        <w:trPr>
          <w:trHeight w:val="194"/>
        </w:trPr>
        <w:tc>
          <w:tcPr>
            <w:tcW w:w="360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 benefit</w:t>
            </w:r>
          </w:p>
        </w:tc>
        <w:tc>
          <w:tcPr>
            <w:tcW w:w="5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(732)</w:t>
            </w: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(627)</w:t>
            </w:r>
          </w:p>
        </w:tc>
      </w:tr>
      <w:tr>
        <w:trPr>
          <w:trHeight w:val="18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income tax expense</w:t>
            </w:r>
          </w:p>
        </w:tc>
        <w:tc>
          <w:tcPr>
            <w:tcW w:w="506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6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7"/>
        </w:trPr>
        <w:tc>
          <w:tcPr>
            <w:tcW w:w="36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2"/>
          </w:tcPr>
          <w:p>
            <w:pPr>
              <w:jc w:val="right"/>
              <w:ind w:right="3585"/>
              <w:spacing w:after="0"/>
              <w:rPr>
                <w:sz w:val="20"/>
                <w:szCs w:val="20"/>
                <w:color w:val="auto"/>
              </w:rPr>
            </w:pPr>
            <w:r>
              <w:rPr>
                <w:rFonts w:ascii="Times New Roman" w:cs="Times New Roman" w:eastAsia="Times New Roman" w:hAnsi="Times New Roman"/>
                <w:sz w:val="15"/>
                <w:szCs w:val="15"/>
                <w:color w:val="auto"/>
              </w:rPr>
              <w:t>F-25</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A reconciliation between the Group’s actual benefit for income taxes and the provision at the PRC, mainland statutory rate is as follows: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8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c>
          <w:tcPr>
            <w:tcW w:w="0" w:type="dxa"/>
            <w:vAlign w:val="bottom"/>
          </w:tcPr>
          <w:p>
            <w:pPr>
              <w:spacing w:after="0"/>
              <w:rPr>
                <w:sz w:val="1"/>
                <w:szCs w:val="1"/>
                <w:color w:val="auto"/>
              </w:rPr>
            </w:pPr>
          </w:p>
        </w:tc>
      </w:tr>
      <w:tr>
        <w:trPr>
          <w:trHeight w:val="201"/>
        </w:trPr>
        <w:tc>
          <w:tcPr>
            <w:tcW w:w="8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6"/>
          </w:tcPr>
          <w:p>
            <w:pPr>
              <w:jc w:val="right"/>
              <w:ind w:right="90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194"/>
        </w:trPr>
        <w:tc>
          <w:tcPr>
            <w:tcW w:w="84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before income tax expense</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(60,642)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Computed income tax benefit with statutory tax rate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(15,161)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(822)</w:t>
            </w: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deduction for research and development expenses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(409)</w:t>
            </w:r>
          </w:p>
        </w:tc>
        <w:tc>
          <w:tcPr>
            <w:tcW w:w="0" w:type="dxa"/>
            <w:vAlign w:val="bottom"/>
          </w:tcPr>
          <w:p>
            <w:pPr>
              <w:spacing w:after="0"/>
              <w:rPr>
                <w:sz w:val="1"/>
                <w:szCs w:val="1"/>
                <w:color w:val="auto"/>
              </w:rPr>
            </w:pPr>
          </w:p>
        </w:tc>
      </w:tr>
      <w:tr>
        <w:trPr>
          <w:trHeight w:val="180"/>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Tax effect of preferred tax rate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15,203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533</w:t>
            </w: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effect of favorable tax rates on small-scale and low-profit entities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180"/>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Tax effect of tax relief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 effect of non-deductible items</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87</w:t>
            </w:r>
          </w:p>
        </w:tc>
        <w:tc>
          <w:tcPr>
            <w:tcW w:w="0" w:type="dxa"/>
            <w:vAlign w:val="bottom"/>
          </w:tcPr>
          <w:p>
            <w:pPr>
              <w:spacing w:after="0"/>
              <w:rPr>
                <w:sz w:val="1"/>
                <w:szCs w:val="1"/>
                <w:color w:val="auto"/>
              </w:rPr>
            </w:pPr>
          </w:p>
        </w:tc>
      </w:tr>
      <w:tr>
        <w:trPr>
          <w:trHeight w:val="180"/>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Tax effect of expired tax attribute carryforwards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Changes in valuation allowance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831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1,387</w:t>
            </w:r>
          </w:p>
        </w:tc>
        <w:tc>
          <w:tcPr>
            <w:tcW w:w="0" w:type="dxa"/>
            <w:vAlign w:val="bottom"/>
          </w:tcPr>
          <w:p>
            <w:pPr>
              <w:spacing w:after="0"/>
              <w:rPr>
                <w:sz w:val="1"/>
                <w:szCs w:val="1"/>
                <w:color w:val="auto"/>
              </w:rPr>
            </w:pPr>
          </w:p>
        </w:tc>
      </w:tr>
      <w:tr>
        <w:trPr>
          <w:trHeight w:val="165"/>
        </w:trPr>
        <w:tc>
          <w:tcPr>
            <w:tcW w:w="84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Income tax expense</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931</w:t>
            </w: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840</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As of December 31, 2024 and September 30, 2025, the significant components of the deferred tax assets are summarized below:</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0" w:type="dxa"/>
            <w:vAlign w:val="bottom"/>
          </w:tcPr>
          <w:p>
            <w:pPr>
              <w:spacing w:after="0"/>
              <w:rPr>
                <w:sz w:val="1"/>
                <w:szCs w:val="1"/>
                <w:color w:val="auto"/>
              </w:rPr>
            </w:pPr>
          </w:p>
        </w:tc>
      </w:tr>
      <w:tr>
        <w:trPr>
          <w:trHeight w:val="192"/>
        </w:trPr>
        <w:tc>
          <w:tcPr>
            <w:tcW w:w="8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1"/>
        </w:trPr>
        <w:tc>
          <w:tcPr>
            <w:tcW w:w="8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Temporary difference in accounts receivable recognition</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5,570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5,712</w:t>
            </w:r>
          </w:p>
        </w:tc>
        <w:tc>
          <w:tcPr>
            <w:tcW w:w="0" w:type="dxa"/>
            <w:vAlign w:val="bottom"/>
          </w:tcPr>
          <w:p>
            <w:pPr>
              <w:spacing w:after="0"/>
              <w:rPr>
                <w:sz w:val="1"/>
                <w:szCs w:val="1"/>
                <w:color w:val="auto"/>
              </w:rPr>
            </w:pPr>
          </w:p>
        </w:tc>
      </w:tr>
      <w:tr>
        <w:trPr>
          <w:trHeight w:val="180"/>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Temporary difference in research and development costs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3,033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3,149</w:t>
            </w: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Accrued expense</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402</w:t>
            </w:r>
          </w:p>
        </w:tc>
        <w:tc>
          <w:tcPr>
            <w:tcW w:w="0" w:type="dxa"/>
            <w:vAlign w:val="bottom"/>
          </w:tcPr>
          <w:p>
            <w:pPr>
              <w:spacing w:after="0"/>
              <w:rPr>
                <w:sz w:val="1"/>
                <w:szCs w:val="1"/>
                <w:color w:val="auto"/>
              </w:rPr>
            </w:pPr>
          </w:p>
        </w:tc>
      </w:tr>
      <w:tr>
        <w:trPr>
          <w:trHeight w:val="180"/>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Net operating loss carried forward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12,564</w:t>
            </w: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472</w:t>
            </w:r>
          </w:p>
        </w:tc>
        <w:tc>
          <w:tcPr>
            <w:tcW w:w="0" w:type="dxa"/>
            <w:vAlign w:val="bottom"/>
          </w:tcPr>
          <w:p>
            <w:pPr>
              <w:spacing w:after="0"/>
              <w:rPr>
                <w:sz w:val="1"/>
                <w:szCs w:val="1"/>
                <w:color w:val="auto"/>
              </w:rPr>
            </w:pPr>
          </w:p>
        </w:tc>
      </w:tr>
      <w:tr>
        <w:trPr>
          <w:trHeight w:val="194"/>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Allowance for credit losses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4,631</w:t>
            </w:r>
          </w:p>
        </w:tc>
        <w:tc>
          <w:tcPr>
            <w:tcW w:w="0" w:type="dxa"/>
            <w:vAlign w:val="bottom"/>
          </w:tcPr>
          <w:p>
            <w:pPr>
              <w:spacing w:after="0"/>
              <w:rPr>
                <w:sz w:val="1"/>
                <w:szCs w:val="1"/>
                <w:color w:val="auto"/>
              </w:rPr>
            </w:pPr>
          </w:p>
        </w:tc>
      </w:tr>
      <w:tr>
        <w:trPr>
          <w:trHeight w:val="180"/>
        </w:trPr>
        <w:tc>
          <w:tcPr>
            <w:tcW w:w="8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24,293</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26,930</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20" w:type="dxa"/>
            <w:vAlign w:val="bottom"/>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(13,840)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(15,575)</w:t>
            </w:r>
          </w:p>
        </w:tc>
        <w:tc>
          <w:tcPr>
            <w:tcW w:w="0" w:type="dxa"/>
            <w:vAlign w:val="bottom"/>
          </w:tcPr>
          <w:p>
            <w:pPr>
              <w:spacing w:after="0"/>
              <w:rPr>
                <w:sz w:val="1"/>
                <w:szCs w:val="1"/>
                <w:color w:val="auto"/>
              </w:rPr>
            </w:pPr>
          </w:p>
        </w:tc>
      </w:tr>
      <w:tr>
        <w:trPr>
          <w:trHeight w:val="183"/>
        </w:trPr>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 net of valuation allowance</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10,453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11,355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ind w:left="5480"/>
              <w:spacing w:after="0"/>
              <w:rPr>
                <w:sz w:val="20"/>
                <w:szCs w:val="20"/>
                <w:color w:val="auto"/>
              </w:rPr>
            </w:pPr>
            <w:r>
              <w:rPr>
                <w:rFonts w:ascii="Times New Roman" w:cs="Times New Roman" w:eastAsia="Times New Roman" w:hAnsi="Times New Roman"/>
                <w:sz w:val="15"/>
                <w:szCs w:val="15"/>
                <w:color w:val="auto"/>
              </w:rPr>
              <w:t>F-26</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84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1"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Changes in valuation allowance are as follows: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3"/>
        </w:trPr>
        <w:tc>
          <w:tcPr>
            <w:tcW w:w="8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2"/>
        </w:trPr>
        <w:tc>
          <w:tcPr>
            <w:tcW w:w="8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1"/>
        </w:trPr>
        <w:tc>
          <w:tcPr>
            <w:tcW w:w="86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8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the beginning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11,820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8660" w:type="dxa"/>
            <w:vAlign w:val="bottom"/>
          </w:tcPr>
          <w:p>
            <w:pPr>
              <w:spacing w:after="0"/>
              <w:rPr>
                <w:sz w:val="20"/>
                <w:szCs w:val="20"/>
                <w:color w:val="auto"/>
              </w:rPr>
            </w:pPr>
            <w:r>
              <w:rPr>
                <w:rFonts w:ascii="Times New Roman" w:cs="Times New Roman" w:eastAsia="Times New Roman" w:hAnsi="Times New Roman"/>
                <w:sz w:val="15"/>
                <w:szCs w:val="15"/>
                <w:color w:val="auto"/>
              </w:rPr>
              <w:t>Additions</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2,344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1,350</w:t>
            </w:r>
          </w:p>
        </w:tc>
        <w:tc>
          <w:tcPr>
            <w:tcW w:w="100" w:type="dxa"/>
            <w:vAlign w:val="bottom"/>
          </w:tcPr>
          <w:p>
            <w:pPr>
              <w:spacing w:after="0"/>
              <w:rPr>
                <w:sz w:val="15"/>
                <w:szCs w:val="15"/>
                <w:color w:val="auto"/>
              </w:rPr>
            </w:pPr>
          </w:p>
        </w:tc>
      </w:tr>
      <w:tr>
        <w:trPr>
          <w:trHeight w:val="212"/>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(324)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385</w:t>
            </w:r>
          </w:p>
        </w:tc>
        <w:tc>
          <w:tcPr>
            <w:tcW w:w="100" w:type="dxa"/>
            <w:vAlign w:val="bottom"/>
            <w:shd w:val="clear" w:color="auto" w:fill="CCEEFF"/>
          </w:tcPr>
          <w:p>
            <w:pPr>
              <w:spacing w:after="0"/>
              <w:rPr>
                <w:sz w:val="18"/>
                <w:szCs w:val="18"/>
                <w:color w:val="auto"/>
              </w:rPr>
            </w:pPr>
          </w:p>
        </w:tc>
      </w:tr>
      <w:tr>
        <w:trPr>
          <w:trHeight w:val="165"/>
        </w:trPr>
        <w:tc>
          <w:tcPr>
            <w:tcW w:w="866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Balance at the end of the period</w:t>
            </w:r>
          </w:p>
        </w:tc>
        <w:tc>
          <w:tcPr>
            <w:tcW w:w="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13,840</w:t>
            </w:r>
          </w:p>
        </w:tc>
        <w:tc>
          <w:tcPr>
            <w:tcW w:w="220" w:type="dxa"/>
            <w:vAlign w:val="bottom"/>
            <w:tcBorders>
              <w:top w:val="single" w:sz="8" w:color="CCEEFF"/>
            </w:tcBorders>
          </w:tcPr>
          <w:p>
            <w:pPr>
              <w:spacing w:after="0"/>
              <w:rPr>
                <w:sz w:val="14"/>
                <w:szCs w:val="14"/>
                <w:color w:val="auto"/>
              </w:rPr>
            </w:pPr>
          </w:p>
        </w:tc>
        <w:tc>
          <w:tcPr>
            <w:tcW w:w="20" w:type="dxa"/>
            <w:vAlign w:val="bottom"/>
            <w:tcBorders>
              <w:top w:val="single" w:sz="8" w:color="CCEEFF"/>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15,575</w:t>
            </w:r>
          </w:p>
        </w:tc>
        <w:tc>
          <w:tcPr>
            <w:tcW w:w="20" w:type="dxa"/>
            <w:vAlign w:val="bottom"/>
            <w:tcBorders>
              <w:top w:val="single" w:sz="8" w:color="CCEEFF"/>
              <w:bottom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color w:val="auto"/>
        </w:rPr>
        <w:t>As of December 31, 2024 and September 30, 2025, the Group had net operating loss carryforwards from the Group’s subsidiaries in the PRC of approximately $48,347 and $51,588, respectively, and from the Parent Company and the Group’s non-PRC subsidiaries of approximately $82,600 and $87,825, respectively. As of December 31, 2024 and September 30, 2025, deferred tax assets from the net operating loss carryforwards amounted to $11,325 and $12,564, respectively, and the Group has recorded valuation allowances of $13,840 and $15,575 as of December 31, 2024 and September 30, 2025, respectively. Full valuation allowances have been provided where, based on all available evidence, management determined that deferred tax assets are not more likely than not to be realizable in future tax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As of September 30, 2025, net operating loss carryforwards will expire, if unused, in the following amounts: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1"/>
        </w:trPr>
        <w:tc>
          <w:tcPr>
            <w:tcW w:w="10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Remainder of 2025</w:t>
            </w:r>
          </w:p>
        </w:tc>
        <w:tc>
          <w:tcPr>
            <w:tcW w:w="36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4,270</w:t>
            </w:r>
          </w:p>
        </w:tc>
        <w:tc>
          <w:tcPr>
            <w:tcW w:w="100" w:type="dxa"/>
            <w:vAlign w:val="bottom"/>
            <w:shd w:val="clear" w:color="auto" w:fill="CCEEFF"/>
          </w:tcPr>
          <w:p>
            <w:pPr>
              <w:spacing w:after="0"/>
              <w:rPr>
                <w:sz w:val="15"/>
                <w:szCs w:val="15"/>
                <w:color w:val="auto"/>
              </w:rPr>
            </w:pPr>
          </w:p>
        </w:tc>
      </w:tr>
      <w:tr>
        <w:trPr>
          <w:trHeight w:val="180"/>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5,187</w:t>
            </w:r>
          </w:p>
        </w:tc>
        <w:tc>
          <w:tcPr>
            <w:tcW w:w="100" w:type="dxa"/>
            <w:vAlign w:val="bottom"/>
          </w:tcPr>
          <w:p>
            <w:pPr>
              <w:spacing w:after="0"/>
              <w:rPr>
                <w:sz w:val="15"/>
                <w:szCs w:val="15"/>
                <w:color w:val="auto"/>
              </w:rPr>
            </w:pPr>
          </w:p>
        </w:tc>
      </w:tr>
      <w:tr>
        <w:trPr>
          <w:trHeight w:val="18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16,969</w:t>
            </w:r>
          </w:p>
        </w:tc>
      </w:tr>
      <w:tr>
        <w:trPr>
          <w:trHeight w:val="180"/>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13,151</w:t>
            </w:r>
          </w:p>
        </w:tc>
      </w:tr>
      <w:tr>
        <w:trPr>
          <w:trHeight w:val="18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6,280</w:t>
            </w:r>
          </w:p>
        </w:tc>
        <w:tc>
          <w:tcPr>
            <w:tcW w:w="100" w:type="dxa"/>
            <w:vAlign w:val="bottom"/>
            <w:shd w:val="clear" w:color="auto" w:fill="CCEEFF"/>
          </w:tcPr>
          <w:p>
            <w:pPr>
              <w:spacing w:after="0"/>
              <w:rPr>
                <w:sz w:val="15"/>
                <w:szCs w:val="15"/>
                <w:color w:val="auto"/>
              </w:rPr>
            </w:pPr>
          </w:p>
        </w:tc>
      </w:tr>
      <w:tr>
        <w:trPr>
          <w:trHeight w:val="180"/>
        </w:trPr>
        <w:tc>
          <w:tcPr>
            <w:tcW w:w="10020" w:type="dxa"/>
            <w:vAlign w:val="bottom"/>
          </w:tcPr>
          <w:p>
            <w:pPr>
              <w:spacing w:after="0"/>
              <w:rPr>
                <w:sz w:val="20"/>
                <w:szCs w:val="20"/>
                <w:color w:val="auto"/>
              </w:rPr>
            </w:pPr>
            <w:r>
              <w:rPr>
                <w:rFonts w:ascii="Times New Roman" w:cs="Times New Roman" w:eastAsia="Times New Roman" w:hAnsi="Times New Roman"/>
                <w:sz w:val="15"/>
                <w:szCs w:val="15"/>
                <w:color w:val="auto"/>
              </w:rPr>
              <w:t>2030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5,731</w:t>
            </w:r>
          </w:p>
        </w:tc>
        <w:tc>
          <w:tcPr>
            <w:tcW w:w="100" w:type="dxa"/>
            <w:vAlign w:val="bottom"/>
          </w:tcPr>
          <w:p>
            <w:pPr>
              <w:spacing w:after="0"/>
              <w:rPr>
                <w:sz w:val="15"/>
                <w:szCs w:val="15"/>
                <w:color w:val="auto"/>
              </w:rPr>
            </w:pPr>
          </w:p>
        </w:tc>
      </w:tr>
      <w:tr>
        <w:trPr>
          <w:trHeight w:val="212"/>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Infinite</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87,825</w:t>
            </w:r>
          </w:p>
        </w:tc>
      </w:tr>
      <w:tr>
        <w:trPr>
          <w:trHeight w:val="165"/>
        </w:trPr>
        <w:tc>
          <w:tcPr>
            <w:tcW w:w="100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20" w:type="dxa"/>
            <w:vAlign w:val="bottom"/>
            <w:tcBorders>
              <w:top w:val="single" w:sz="8" w:color="CCEEFF"/>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139,413</w:t>
            </w:r>
          </w:p>
        </w:tc>
        <w:tc>
          <w:tcPr>
            <w:tcW w:w="20" w:type="dxa"/>
            <w:vAlign w:val="bottom"/>
            <w:tcBorders>
              <w:top w:val="single" w:sz="8" w:color="CCEEFF"/>
              <w:bottom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
        </w:trPr>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14. NET LOSS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the basic and diluted net loss per share computation and provides a reconciliation of the numerator and denominator for the periods presented:</w:t>
      </w:r>
    </w:p>
    <w:p>
      <w:pPr>
        <w:spacing w:after="0" w:line="184"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spacing w:after="0" w:line="25"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r>
      <w:tr>
        <w:trPr>
          <w:trHeight w:val="202"/>
        </w:trPr>
        <w:tc>
          <w:tcPr>
            <w:tcW w:w="6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Numerator:</w:t>
            </w:r>
          </w:p>
        </w:tc>
        <w:tc>
          <w:tcPr>
            <w:tcW w:w="1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attributable to the Company’s ordinary shareholders</w:t>
            </w:r>
          </w:p>
        </w:tc>
        <w:tc>
          <w:tcPr>
            <w:tcW w:w="20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CCEEFF"/>
            </w:tcBorders>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5"/>
                <w:szCs w:val="15"/>
                <w:color w:val="auto"/>
              </w:rPr>
              <w:t>(64,747)</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(7,485)</w:t>
            </w:r>
          </w:p>
        </w:tc>
      </w:tr>
      <w:tr>
        <w:trPr>
          <w:trHeight w:val="205"/>
        </w:trPr>
        <w:tc>
          <w:tcPr>
            <w:tcW w:w="686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Numerator for basic and diluted net loss per share calculation</w:t>
            </w:r>
          </w:p>
        </w:tc>
        <w:tc>
          <w:tcPr>
            <w:tcW w:w="180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(64,747</w:t>
            </w:r>
          </w:p>
        </w:tc>
        <w:tc>
          <w:tcPr>
            <w:tcW w:w="240" w:type="dxa"/>
            <w:vAlign w:val="bottom"/>
            <w:tcBorders>
              <w:top w:val="single" w:sz="8" w:color="CCEEFF"/>
              <w:bottom w:val="single" w:sz="8" w:color="CCEEFF"/>
            </w:tcBorders>
          </w:tcPr>
          <w:p>
            <w:pPr>
              <w:jc w:val="right"/>
              <w:ind w:right="16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(7,485</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74"/>
        </w:trPr>
        <w:tc>
          <w:tcPr>
            <w:tcW w:w="686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0"/>
        </w:trPr>
        <w:tc>
          <w:tcPr>
            <w:tcW w:w="6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Denominator:</w:t>
            </w: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number of ordinary shares</w:t>
            </w:r>
          </w:p>
        </w:tc>
        <w:tc>
          <w:tcPr>
            <w:tcW w:w="1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tcBorders>
              <w:right w:val="single" w:sz="8" w:color="CCEEFF"/>
            </w:tcBorders>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5"/>
                <w:szCs w:val="15"/>
                <w:color w:val="auto"/>
              </w:rPr>
              <w:t>95,221,846</w:t>
            </w:r>
          </w:p>
        </w:tc>
        <w:tc>
          <w:tcPr>
            <w:tcW w:w="2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102,106,309</w:t>
            </w:r>
          </w:p>
        </w:tc>
        <w:tc>
          <w:tcPr>
            <w:tcW w:w="100" w:type="dxa"/>
            <w:vAlign w:val="bottom"/>
            <w:shd w:val="clear" w:color="auto" w:fill="CCEEFF"/>
          </w:tcPr>
          <w:p>
            <w:pPr>
              <w:spacing w:after="0"/>
              <w:rPr>
                <w:sz w:val="15"/>
                <w:szCs w:val="15"/>
                <w:color w:val="auto"/>
              </w:rPr>
            </w:pPr>
          </w:p>
        </w:tc>
      </w:tr>
      <w:tr>
        <w:trPr>
          <w:trHeight w:val="180"/>
        </w:trPr>
        <w:tc>
          <w:tcPr>
            <w:tcW w:w="6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attributable to the Company ordinary shareholders per ordinary share</w:t>
            </w:r>
          </w:p>
        </w:tc>
        <w:tc>
          <w:tcPr>
            <w:tcW w:w="1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2"/>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—Basic and diluted</w:t>
            </w:r>
          </w:p>
        </w:tc>
        <w:tc>
          <w:tcPr>
            <w:tcW w:w="1800" w:type="dxa"/>
            <w:vAlign w:val="bottom"/>
          </w:tcPr>
          <w:p>
            <w:pPr>
              <w:spacing w:after="0"/>
              <w:rPr>
                <w:sz w:val="16"/>
                <w:szCs w:val="16"/>
                <w:color w:val="auto"/>
              </w:rPr>
            </w:pPr>
          </w:p>
        </w:tc>
        <w:tc>
          <w:tcPr>
            <w:tcW w:w="26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62"/>
              <w:spacing w:after="0"/>
              <w:rPr>
                <w:sz w:val="20"/>
                <w:szCs w:val="20"/>
                <w:color w:val="auto"/>
              </w:rPr>
            </w:pPr>
            <w:r>
              <w:rPr>
                <w:rFonts w:ascii="Times New Roman" w:cs="Times New Roman" w:eastAsia="Times New Roman" w:hAnsi="Times New Roman"/>
                <w:sz w:val="15"/>
                <w:szCs w:val="15"/>
                <w:color w:val="auto"/>
              </w:rPr>
              <w:t>(0.68)</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(0.07)</w:t>
            </w:r>
          </w:p>
        </w:tc>
      </w:tr>
      <w:tr>
        <w:trPr>
          <w:trHeight w:val="23"/>
        </w:trPr>
        <w:tc>
          <w:tcPr>
            <w:tcW w:w="6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5"/>
          <w:szCs w:val="15"/>
          <w:color w:val="auto"/>
        </w:rPr>
        <w:t>For the nine months ended September 30, 2024 and 2025, warrants were anti-dilutive and thus excluded from the calculation of diluted loss per share. The potential dilutive securities that were not included in the calculation of dilutive loss per share in nine months ended September 30, 2024 and 2025 were 1,600,000 and 1,600,000, respectively.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8" w:name="page29"/>
    <w:bookmarkEnd w:id="28"/>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15. RELATED PARTY TRANSACTIONS</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table below sets forth the major related parties and their relationships with the Group as of December 31, 2024 and September 30, 2025:</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of related parties</w:t>
            </w:r>
          </w:p>
        </w:tc>
        <w:tc>
          <w:tcPr>
            <w:tcW w:w="220" w:type="dxa"/>
            <w:vAlign w:val="bottom"/>
            <w:tcBorders>
              <w:bottom w:val="single" w:sz="8" w:color="CCEEFF"/>
            </w:tcBorders>
          </w:tcPr>
          <w:p>
            <w:pPr>
              <w:spacing w:after="0"/>
              <w:rPr>
                <w:sz w:val="17"/>
                <w:szCs w:val="17"/>
                <w:color w:val="auto"/>
              </w:rPr>
            </w:pPr>
          </w:p>
        </w:tc>
        <w:tc>
          <w:tcPr>
            <w:tcW w:w="55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5"/>
                <w:szCs w:val="15"/>
                <w:b w:val="1"/>
                <w:bCs w:val="1"/>
                <w:color w:val="auto"/>
              </w:rPr>
              <w:t>Relationship with the Group</w:t>
            </w:r>
          </w:p>
        </w:tc>
      </w:tr>
      <w:tr>
        <w:trPr>
          <w:trHeight w:val="166"/>
        </w:trPr>
        <w:tc>
          <w:tcPr>
            <w:tcW w:w="55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Shengda Group</w:t>
            </w:r>
          </w:p>
        </w:tc>
        <w:tc>
          <w:tcPr>
            <w:tcW w:w="2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An entity ultimately controlled by Mr. Ye Zaichang, the Company’s Chief Executive</w:t>
            </w:r>
          </w:p>
        </w:tc>
      </w:tr>
      <w:tr>
        <w:trPr>
          <w:trHeight w:val="195"/>
        </w:trPr>
        <w:tc>
          <w:tcPr>
            <w:tcW w:w="5520" w:type="dxa"/>
            <w:vAlign w:val="bottom"/>
            <w:shd w:val="clear" w:color="auto" w:fill="CCEEFF"/>
          </w:tcPr>
          <w:p>
            <w:pPr>
              <w:spacing w:after="0"/>
              <w:rPr>
                <w:sz w:val="16"/>
                <w:szCs w:val="16"/>
                <w:color w:val="auto"/>
              </w:rPr>
            </w:pP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Officer</w:t>
            </w:r>
          </w:p>
        </w:tc>
      </w:tr>
      <w:tr>
        <w:trPr>
          <w:trHeight w:val="194"/>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Mr. Lei Zhunfu</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Chief Technology Officer and Chief Operating Officer of the Company</w:t>
            </w:r>
          </w:p>
        </w:tc>
      </w:tr>
      <w:tr>
        <w:trPr>
          <w:trHeight w:val="346"/>
        </w:trPr>
        <w:tc>
          <w:tcPr>
            <w:tcW w:w="55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Balances with related parties</w:t>
            </w: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61"/>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Amount due to related parties</w:t>
            </w: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bl>
    <w:p>
      <w:pPr>
        <w:spacing w:after="0" w:line="163" w:lineRule="exact"/>
        <w:rPr>
          <w:sz w:val="20"/>
          <w:szCs w:val="20"/>
          <w:color w:val="auto"/>
        </w:rPr>
      </w:pPr>
    </w:p>
    <w:p>
      <w:pPr>
        <w:sectPr>
          <w:pgSz w:w="11900" w:h="16838" w:orient="portrait"/>
          <w:cols w:equalWidth="0" w:num="1">
            <w:col w:w="11270"/>
          </w:cols>
          <w:pgMar w:left="310" w:top="301" w:right="31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Amount due to related parties, current</w:t>
      </w:r>
    </w:p>
    <w:p>
      <w:pPr>
        <w:ind w:left="10"/>
        <w:spacing w:after="0" w:line="198" w:lineRule="auto"/>
        <w:rPr>
          <w:sz w:val="20"/>
          <w:szCs w:val="20"/>
          <w:color w:val="auto"/>
        </w:rPr>
      </w:pPr>
      <w:r>
        <w:rPr>
          <w:rFonts w:ascii="Times New Roman" w:cs="Times New Roman" w:eastAsia="Times New Roman" w:hAnsi="Times New Roman"/>
          <w:sz w:val="15"/>
          <w:szCs w:val="15"/>
          <w:color w:val="auto"/>
        </w:rPr>
        <w:t xml:space="preserve">Other payables </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518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5"/>
          <w:szCs w:val="15"/>
          <w:color w:val="auto"/>
        </w:rPr>
        <w:t>Shengda Group</w:t>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Mr. Lei Zhunfu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55180" cy="135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135890"/>
                    </a:xfrm>
                    <a:prstGeom prst="rect">
                      <a:avLst/>
                    </a:prstGeom>
                    <a:noFill/>
                  </pic:spPr>
                </pic:pic>
              </a:graphicData>
            </a:graphic>
          </wp:anchor>
        </w:drawing>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Amount due to a related party, non-current</w:t>
      </w:r>
    </w:p>
    <w:p>
      <w:pPr>
        <w:ind w:left="10"/>
        <w:spacing w:after="0" w:line="215" w:lineRule="auto"/>
        <w:rPr>
          <w:sz w:val="20"/>
          <w:szCs w:val="20"/>
          <w:color w:val="auto"/>
        </w:rPr>
      </w:pPr>
      <w:r>
        <w:rPr>
          <w:rFonts w:ascii="Times New Roman" w:cs="Times New Roman" w:eastAsia="Times New Roman" w:hAnsi="Times New Roman"/>
          <w:sz w:val="14"/>
          <w:szCs w:val="14"/>
          <w:color w:val="auto"/>
        </w:rPr>
        <w:t xml:space="preserve">Payables due to the transfer of SunCar Online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55180" cy="135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180" cy="135890"/>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5"/>
          <w:szCs w:val="15"/>
          <w:color w:val="auto"/>
        </w:rPr>
        <w:t>Shengda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55180" cy="135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18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As of</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5"/>
                <w:szCs w:val="15"/>
                <w:b w:val="1"/>
                <w:bCs w:val="1"/>
                <w:color w:val="auto"/>
                <w:w w:val="97"/>
              </w:rPr>
              <w:t>As of</w:t>
            </w: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center"/>
              <w:ind w:right="5"/>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1"/>
        </w:trPr>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57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6,381</w:t>
            </w: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w:t>
            </w:r>
          </w:p>
        </w:tc>
      </w:tr>
      <w:tr>
        <w:trPr>
          <w:trHeight w:val="183"/>
        </w:trPr>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6,238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6,671</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22,761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11,813</w:t>
            </w:r>
          </w:p>
        </w:tc>
      </w:tr>
      <w:tr>
        <w:trPr>
          <w:trHeight w:val="183"/>
        </w:trPr>
        <w:tc>
          <w:tcPr>
            <w:tcW w:w="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22,761</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11,813</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7950" w:space="720"/>
            <w:col w:w="2600"/>
          </w:cols>
          <w:pgMar w:left="310" w:top="301" w:right="319" w:bottom="1440" w:gutter="0" w:footer="0" w:header="0"/>
          <w:type w:val="continuous"/>
        </w:sectPr>
      </w:pPr>
    </w:p>
    <w:p>
      <w:pPr>
        <w:ind w:left="270" w:hanging="270"/>
        <w:spacing w:after="0"/>
        <w:tabs>
          <w:tab w:leader="none" w:pos="27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payables were for the ordinary course of operation, which were interest free, unsecure and could be settled on demand.</w:t>
      </w:r>
    </w:p>
    <w:p>
      <w:pPr>
        <w:spacing w:after="0" w:line="188" w:lineRule="exact"/>
        <w:rPr>
          <w:rFonts w:ascii="Times New Roman" w:cs="Times New Roman" w:eastAsia="Times New Roman" w:hAnsi="Times New Roman"/>
          <w:sz w:val="15"/>
          <w:szCs w:val="15"/>
          <w:color w:val="auto"/>
        </w:rPr>
      </w:pPr>
    </w:p>
    <w:p>
      <w:pPr>
        <w:jc w:val="both"/>
        <w:ind w:left="270" w:hanging="270"/>
        <w:spacing w:after="0" w:line="258" w:lineRule="auto"/>
        <w:tabs>
          <w:tab w:leader="none" w:pos="27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December 3, 2021, Shengda Group transferred all of its equity interest, which was 55.09% as of the transfer date, of SunCar Online to Shanghai Feiyou, at price RMB4 per share, totaling RMB282 million. Upon completion of the transfer, Feiyou is liable to Shengda Group RMB282 million for the transfer of SunCar Online. As a result of the disposal of Shengda Group, Shengda Group became the related party of the Group, and the balance due to Shengda Group was presented as amount due to a related party. On March 1, 2022, the Group entered into a share purchase agreement (the “SPA”) with an affiliate of Mr. Ye to transfer the total equity of Shengda Group with the consideration of RMB 1. Pursuant to the SPA, the Group agreed to repay the debt owed to Shengda Group by full before June 1, 2023.</w:t>
      </w:r>
    </w:p>
    <w:p>
      <w:pPr>
        <w:spacing w:after="0" w:line="154" w:lineRule="exact"/>
        <w:rPr>
          <w:rFonts w:ascii="Times New Roman" w:cs="Times New Roman" w:eastAsia="Times New Roman" w:hAnsi="Times New Roman"/>
          <w:sz w:val="15"/>
          <w:szCs w:val="15"/>
          <w:color w:val="auto"/>
        </w:rPr>
      </w:pPr>
    </w:p>
    <w:p>
      <w:pPr>
        <w:jc w:val="both"/>
        <w:ind w:left="27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April 2023, the Group negotiated with Shengda Group and consented to have an extension of payment to extend the repayment date to December 31, 2025, with annual interest rate of 1% from June 1, 2023 to December 31, 2025. In January 2025, the Group negotiated with Shengda Group and consented to have an extension of payment to extend the repayment date to December 31, 2028. Therefore, the Group reclassified the balance to non-current portion after the extension.</w:t>
      </w:r>
    </w:p>
    <w:p>
      <w:pPr>
        <w:spacing w:after="0" w:line="149" w:lineRule="exact"/>
        <w:rPr>
          <w:rFonts w:ascii="Times New Roman" w:cs="Times New Roman" w:eastAsia="Times New Roman" w:hAnsi="Times New Roman"/>
          <w:sz w:val="15"/>
          <w:szCs w:val="15"/>
          <w:color w:val="auto"/>
        </w:rPr>
      </w:pPr>
    </w:p>
    <w:p>
      <w:pPr>
        <w:jc w:val="both"/>
        <w:ind w:left="27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year ended December 31, 2024, the Group repaid the debt owed to Shengda Group through transfer of shares of SunCar Online at an aggregate amount of $6.2 million. The non-cash gains from the difference of repurchase price and transfer price of $4.5 million were charged to additional-paid-in capital since Shengda Group and the Group were under common control.</w:t>
      </w:r>
    </w:p>
    <w:p>
      <w:pPr>
        <w:spacing w:after="0" w:line="149" w:lineRule="exact"/>
        <w:rPr>
          <w:rFonts w:ascii="Times New Roman" w:cs="Times New Roman" w:eastAsia="Times New Roman" w:hAnsi="Times New Roman"/>
          <w:sz w:val="15"/>
          <w:szCs w:val="15"/>
          <w:color w:val="auto"/>
        </w:rPr>
      </w:pPr>
    </w:p>
    <w:p>
      <w:pPr>
        <w:ind w:left="2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nine months ended September 30, 2025, the Group repaid the debt owed to Shengda Group of $11.4 million.</w:t>
      </w:r>
    </w:p>
    <w:p>
      <w:pPr>
        <w:spacing w:after="0" w:line="3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518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16. CONCENTRATION RISK</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credit losses. The Group conducts periodic reviews of the financial condition and payment practices of its customers to minimize collection risk on accounts receivable.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a summary of single customer who represent 10% or more of the Group’s total revenue.</w:t>
      </w:r>
    </w:p>
    <w:p>
      <w:pPr>
        <w:spacing w:after="0" w:line="184"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spacing w:after="0" w:line="2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6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7"/>
                <w:szCs w:val="17"/>
                <w:color w:val="auto"/>
              </w:rPr>
            </w:pPr>
          </w:p>
        </w:tc>
      </w:tr>
      <w:tr>
        <w:trPr>
          <w:trHeight w:val="202"/>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Percentage of the Group’s total revenue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Customer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w:t>
            </w:r>
          </w:p>
        </w:tc>
      </w:tr>
      <w:tr>
        <w:trPr>
          <w:trHeight w:val="359"/>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sets forth a summary of single customer who represent 10% or more of the Group’s total accounts receivable: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4"/>
        </w:trPr>
        <w:tc>
          <w:tcPr>
            <w:tcW w:w="862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01"/>
        </w:trPr>
        <w:tc>
          <w:tcPr>
            <w:tcW w:w="86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60" w:type="dxa"/>
            <w:vAlign w:val="bottom"/>
          </w:tcPr>
          <w:p>
            <w:pPr>
              <w:spacing w:after="0"/>
              <w:rPr>
                <w:sz w:val="17"/>
                <w:szCs w:val="17"/>
                <w:color w:val="auto"/>
              </w:rPr>
            </w:pPr>
          </w:p>
        </w:tc>
        <w:tc>
          <w:tcPr>
            <w:tcW w:w="11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7"/>
                <w:szCs w:val="17"/>
                <w:color w:val="auto"/>
              </w:rPr>
            </w:pP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Percentage of the Group’s accounts receivable</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w:t>
            </w: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Customer 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F</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w:t>
            </w:r>
          </w:p>
        </w:tc>
      </w:tr>
      <w:tr>
        <w:trPr>
          <w:trHeight w:val="194"/>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Customer 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w:t>
            </w:r>
          </w:p>
        </w:tc>
      </w:tr>
      <w:tr>
        <w:trPr>
          <w:trHeight w:val="346"/>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table sets forth a summary of each supplier who represent 10% or more of the Group’s total purchase: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3"/>
        </w:trPr>
        <w:tc>
          <w:tcPr>
            <w:tcW w:w="8620" w:type="dxa"/>
            <w:vAlign w:val="bottom"/>
          </w:tcPr>
          <w:p>
            <w:pPr>
              <w:spacing w:after="0"/>
              <w:rPr>
                <w:sz w:val="24"/>
                <w:szCs w:val="24"/>
                <w:color w:val="auto"/>
              </w:rPr>
            </w:pPr>
          </w:p>
        </w:tc>
        <w:tc>
          <w:tcPr>
            <w:tcW w:w="2640" w:type="dxa"/>
            <w:vAlign w:val="bottom"/>
            <w:gridSpan w:val="4"/>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tc>
      </w:tr>
      <w:tr>
        <w:trPr>
          <w:trHeight w:val="201"/>
        </w:trPr>
        <w:tc>
          <w:tcPr>
            <w:tcW w:w="8620" w:type="dxa"/>
            <w:vAlign w:val="bottom"/>
          </w:tcPr>
          <w:p>
            <w:pPr>
              <w:spacing w:after="0"/>
              <w:rPr>
                <w:sz w:val="17"/>
                <w:szCs w:val="17"/>
                <w:color w:val="auto"/>
              </w:rPr>
            </w:pPr>
          </w:p>
        </w:tc>
        <w:tc>
          <w:tcPr>
            <w:tcW w:w="2640" w:type="dxa"/>
            <w:vAlign w:val="bottom"/>
            <w:gridSpan w:val="4"/>
          </w:tcPr>
          <w:p>
            <w:pPr>
              <w:jc w:val="right"/>
              <w:ind w:right="940"/>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4"/>
        </w:trPr>
        <w:tc>
          <w:tcPr>
            <w:tcW w:w="86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6"/>
                <w:szCs w:val="16"/>
                <w:color w:val="auto"/>
              </w:rPr>
            </w:pP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Percentage of the Group’s total purchase</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1"/>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Supplier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w:t>
            </w:r>
          </w:p>
        </w:tc>
      </w:tr>
      <w:tr>
        <w:trPr>
          <w:trHeight w:val="180"/>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Supplier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w:t>
            </w:r>
          </w:p>
        </w:tc>
      </w:tr>
      <w:tr>
        <w:trPr>
          <w:trHeight w:val="18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Supplier C</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w:t>
            </w:r>
          </w:p>
        </w:tc>
      </w:tr>
    </w:tbl>
    <w:p>
      <w:pPr>
        <w:spacing w:after="0" w:line="188"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5"/>
          <w:szCs w:val="15"/>
          <w:color w:val="auto"/>
        </w:rPr>
        <w:t>*</w:t>
        <w:tab/>
        <w:t>represent percentage less than 10%</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5"/>
          <w:szCs w:val="15"/>
          <w:b w:val="1"/>
          <w:bCs w:val="1"/>
          <w:color w:val="auto"/>
        </w:rPr>
        <w:t>SUNCAR TECHNOLOGY GROUP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 U.S. Dollar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17.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Lease Commitments</w:t>
      </w:r>
    </w:p>
    <w:p>
      <w:pPr>
        <w:spacing w:after="0" w:line="1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5"/>
          <w:szCs w:val="15"/>
          <w:color w:val="auto"/>
        </w:rPr>
        <w:t>The total future minimum lease payments of property management fee and short-term lease under the non-cancellable operating lease with respect to the office as of September 30, 2025 are payable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20" w:type="dxa"/>
            <w:vAlign w:val="bottom"/>
          </w:tcPr>
          <w:p>
            <w:pPr>
              <w:spacing w:after="0"/>
              <w:rPr>
                <w:sz w:val="15"/>
                <w:szCs w:val="15"/>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Lease</w:t>
            </w:r>
          </w:p>
        </w:tc>
      </w:tr>
      <w:tr>
        <w:trPr>
          <w:trHeight w:val="201"/>
        </w:trPr>
        <w:tc>
          <w:tcPr>
            <w:tcW w:w="100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Commitment</w:t>
            </w:r>
          </w:p>
        </w:tc>
      </w:tr>
      <w:tr>
        <w:trPr>
          <w:trHeight w:val="20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Within 1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65"/>
        </w:trPr>
        <w:tc>
          <w:tcPr>
            <w:tcW w:w="100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1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Contingencies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 In the opinion of management, there were no pending or threatened claims and litigation as of September 30, 2025 and through the issuance date of these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Capital commitments</w:t>
      </w:r>
    </w:p>
    <w:p>
      <w:pPr>
        <w:spacing w:after="0" w:line="19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The Group’s capital commitments primarily relate to commitments on purchase of other cloud infrastructure and artificial intelligence platform. Total capital commitment contracted but not yet reflected in the consolidated financial statements as of September 30, 2025 was $35,519, of which $17,960 was expected to be paid within 1 year and $17,559 was expected to be paid more than 1 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18. SUBSEQUENT EVENTS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July 18, 2025, the People’s Court of Songjiang District, Shanghai, issued a judgment to revoke, within the amount of the creditor’s rights confirmed in the civil mediation agreement in favor of the plaintiff, the equity transfer of SunCar Online by the defendant, Zhejiang Shengling Automotive Service Co., Ltd. (also known as Shengda Group), to Shanghai Feiyou, and ordered the restoration of the equity ownership. Shanghai Feiyou subsequently filed an appeal against the judgment.</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October 31, 2025, the People’s Court upheld the original judgement. Considering the amount of the plaintiff’s claim against Shengda Group, Shanghai Feiyou’s equity interest in SunCar Online was probably reduced from 55.34% to 48.69%. According to concerted action arrangements between Shanghai Feiyou and other shareholders, which still collectively hold an aggregate equity interest of 51.74% in SunCar Online, the Group believes that the outcome of this dispute will not affect Shanghai Feiyou’s effective control over SunCar Online, and is not expected to have a material impact on the consolidated financial statements.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On October 31, 2025, GEM presented a winding-up petition (the “Petition”) to the Grand Court of the Cayman Islands, requesting for the liquidation and winding up of SunCar, in connection with a non-payment under an Award issued at the end of April 2025 as described under Note 8. On December 16, 2025, the GEM and SunCar agreed to the terms of a Consent Order for the adjournment of the Petition (the “Consent Order”). The Consent Order provides for the total payment of $3.1 million by SunCar to GEM in two equal instalments on December 31, 2025 and January 31, 2026. The Cayman Court approved the adjournment of the Petition based on the Consent Order.</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 has evaluated the impact of events that have occurred subsequent to September 30, 2025, through the issuance date, December 22, 2025, of the consolidated financial statements, the Company did not identify any other subsequent events occurred that would require recognition in the consolidated financial statements or disclosure in the notes to the consolidated financial statements.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5"/>
          <w:szCs w:val="15"/>
          <w:b w:val="1"/>
          <w:bCs w:val="1"/>
          <w:color w:val="auto"/>
        </w:rPr>
        <w:t>OPERATING AND FINANCIAL REVIEW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Operating Results</w:t>
      </w:r>
    </w:p>
    <w:p>
      <w:pPr>
        <w:spacing w:after="0" w:line="190"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our financial condition and results of operations in conjunction with our unaudited condensed consolidated financial statements and the related notes included elsewhere in Form 6-K.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the Form 20-F for the year ended December 31, 2024 filed with the Securities and Exchange Commission on April 28, 2025 (the “Annual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Business Overview</w:t>
      </w:r>
    </w:p>
    <w:p>
      <w:pPr>
        <w:spacing w:after="0" w:line="192"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We are a leading provider of cloud and mobile app-based auto eInsurance services, technology services, and auto services in China. We generate revenue from selling our auto eInsurance services, technology services, and auto services.</w:t>
      </w:r>
    </w:p>
    <w:p>
      <w:pPr>
        <w:spacing w:after="0" w:line="138" w:lineRule="exact"/>
        <w:rPr>
          <w:sz w:val="20"/>
          <w:szCs w:val="20"/>
          <w:color w:val="auto"/>
        </w:rPr>
      </w:pPr>
    </w:p>
    <w:p>
      <w:pPr>
        <w:jc w:val="both"/>
        <w:ind w:firstLine="541"/>
        <w:spacing w:after="0" w:line="256" w:lineRule="auto"/>
        <w:rPr>
          <w:sz w:val="20"/>
          <w:szCs w:val="20"/>
          <w:color w:val="auto"/>
        </w:rPr>
      </w:pPr>
      <w:r>
        <w:rPr>
          <w:rFonts w:ascii="Times New Roman" w:cs="Times New Roman" w:eastAsia="Times New Roman" w:hAnsi="Times New Roman"/>
          <w:sz w:val="15"/>
          <w:szCs w:val="15"/>
          <w:color w:val="auto"/>
        </w:rPr>
        <w:t>For our auto eInsurance business, we facilitate the sale of auto insurance products underwritten by major insurance companies in China. We receive commissions from these insurance companies which are typically a percentage of the premium paid by the policy holder. We implement, automate, and streamline the insurance purchasing process through our proprietary cloud and mobile apps which connect our customers to the full spectrum of products from the leading insurers in China. The auto insurance premiums for EVs increased from US$623.3 million for the nine months ended September 30, 2024 to US$1,072.3 million for the nine months ended September 30, 2025, representing a year-over-year growth of 72.0%. Therefore, the revenue from EV insurance services amounted to US$47.3 million for the nine months ended September 30, 2025, as compared to US$27.4 million for the nine months ended September 30, 2024, representing a significant increase of 72.6%.</w:t>
      </w:r>
    </w:p>
    <w:p>
      <w:pPr>
        <w:spacing w:after="0" w:line="158"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We operate our technology services business by providing technical software and consulting related to auto eInsurance and auto services. We have built modular software tools such as customer relationship management (CRM), order management, finance management, and visual analysis systems, which run on our proprietary hybrid cloud platform. Our insurance sales partners and auto services providers use all or some of these online tools to manage their daily work, allowing them the opportunity to monetize the software we have built.</w:t>
      </w:r>
    </w:p>
    <w:p>
      <w:pPr>
        <w:spacing w:after="0" w:line="150"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We operate our auto service business by offering customized auto services to our enterprise customers (our “auto service partners”), who include major banks, insurance companies, and other enterprises all of whom have end customer demands for auto services. These auto services include necessary maintenance as well as regular detailing services. Our auto services are ultimately provided to the end-consumers of our auto service partners by the auto service providers we select to be suppliers on our service network.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Significant Factors Impacting Financial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Relationships with Customers</w:t>
      </w:r>
    </w:p>
    <w:p>
      <w:pPr>
        <w:spacing w:after="0" w:line="190" w:lineRule="exact"/>
        <w:rPr>
          <w:sz w:val="20"/>
          <w:szCs w:val="20"/>
          <w:color w:val="auto"/>
        </w:rPr>
      </w:pPr>
    </w:p>
    <w:p>
      <w:pPr>
        <w:jc w:val="both"/>
        <w:ind w:firstLine="541"/>
        <w:spacing w:after="0" w:line="258" w:lineRule="auto"/>
        <w:rPr>
          <w:sz w:val="20"/>
          <w:szCs w:val="20"/>
          <w:color w:val="auto"/>
        </w:rPr>
      </w:pPr>
      <w:r>
        <w:rPr>
          <w:rFonts w:ascii="Times New Roman" w:cs="Times New Roman" w:eastAsia="Times New Roman" w:hAnsi="Times New Roman"/>
          <w:sz w:val="15"/>
          <w:szCs w:val="15"/>
          <w:color w:val="auto"/>
        </w:rPr>
        <w:t>For the auto eInsurance business, we distribute auto insurance products on behalf of well-known insurance companies in China. For the auto service business, our customers are enterprises mainly consisting of banks, insurance companies, telecom companies, airlines and other large corporations. It is critical for us to maintain good relationships and obtain recognition from both our enterprise customers and their end customers. We need to keep growing our business, building our brand influence, and improving the quality of service to attract new customers, solidify relationships with existing customers, and deliver a satisfactory service experience to the end-consumer. Positive feedback from the end-consumer encourages our customers to deepen their business relations with us.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Cooperation with Service Providers</w:t>
      </w:r>
    </w:p>
    <w:p>
      <w:pPr>
        <w:spacing w:after="0" w:line="190"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For the auto eInsurance business, we collaborate with a variety of external referral sources to expand our market penetration and broaden our customer base. We have built up a network of external sales partners, including offline after-sales networks who have frequent exposure to car owners, major online platforms with significant user traffic, and emerging EV OEMs and service providers. Our strong relationships with external referral sources are crucial for us to attract end customers for our auto eInsurance business.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481" w:right="319" w:bottom="1440" w:gutter="0" w:footer="0" w:header="0"/>
        </w:sectPr>
      </w:pPr>
    </w:p>
    <w:bookmarkStart w:id="32" w:name="page33"/>
    <w:bookmarkEnd w:id="32"/>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For the auto service business, we rely on auto service providers to deliver a variety of auto-related services to the end customers of our enterprise customers. Positive feedback from end customers is dependent on the quality of service provided by our service providers. If our relationships with our service providers deteriorate, our business, financial condition, and results of operations may be materially and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Operating Efficiency of our Business</w:t>
      </w:r>
    </w:p>
    <w:p>
      <w:pPr>
        <w:spacing w:after="0" w:line="190"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While we expect our operating costs and expenses to increase as our business grows, we also expect them to decrease as a percentage of revenues as we improve our operating efficiency and achieve greater economies of scale.</w:t>
      </w:r>
    </w:p>
    <w:p>
      <w:pPr>
        <w:spacing w:after="0" w:line="138"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The synergies between our auto eInsurance and auto service businesses enable the symbiotic growth of both segments. As we continue to develop our nationwide automotive service provider network, these service providers become sales partners in our auto eInsurance business. Conversely, when we engage with insurance companies to sell their insurance products, we also engage them as customers of our auto service.</w:t>
      </w:r>
    </w:p>
    <w:p>
      <w:pPr>
        <w:spacing w:after="0" w:line="150"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Our business is built on a multi-tenant cloud platform which we have continued to integrate in both our customers systems as well as our service and sales networks. We are in the process of adding AI intelligence and digital processes to all our internal workflows as well as to the related business processes of our partners, empowering them with efficient and user-friendly tools and systems. We continue to deploy cutting-edge technology including AI, big data, and Robotics Process Automation (“RPA”), to iteratively upgrade our platform with new features and better performance.</w:t>
      </w:r>
    </w:p>
    <w:p>
      <w:pPr>
        <w:spacing w:after="0" w:line="154"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As discussed in our Annual Report, we established the Anji AI Technology Service Center (“ATSC”) to leverage DeepSeek AI capabilities to help our partners sell new policies, policy renewals, and extended warranties. In the first three quarters of 2025, we have seen promising early results from these AI initiatives, with improved customer engagement metrics and enhanced cross-selling capabilities across our product portfolio. We believe our AI-driven strategy will continue to be a key differentiator across our business segments.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Regulations</w:t>
      </w:r>
    </w:p>
    <w:p>
      <w:pPr>
        <w:spacing w:after="0" w:line="190" w:lineRule="exact"/>
        <w:rPr>
          <w:sz w:val="20"/>
          <w:szCs w:val="20"/>
          <w:color w:val="auto"/>
        </w:rPr>
      </w:pPr>
    </w:p>
    <w:p>
      <w:pPr>
        <w:jc w:val="both"/>
        <w:ind w:firstLine="541"/>
        <w:spacing w:after="0" w:line="256" w:lineRule="auto"/>
        <w:rPr>
          <w:sz w:val="20"/>
          <w:szCs w:val="20"/>
          <w:color w:val="auto"/>
        </w:rPr>
      </w:pPr>
      <w:r>
        <w:rPr>
          <w:rFonts w:ascii="Times New Roman" w:cs="Times New Roman" w:eastAsia="Times New Roman" w:hAnsi="Times New Roman"/>
          <w:sz w:val="15"/>
          <w:szCs w:val="15"/>
          <w:color w:val="auto"/>
        </w:rPr>
        <w:t>Our auto eInsurance business, like all insurance-related businesses in China, is extensively regulated by the China Banking and Insurance Regulatory Commission (“CBIRC”), and subject to regulations including but not limited to PRC Insurance Law and Regulatory Provisions on Professional Insurance Agencies. Aspects of our auto eInsurance business which are regulated include terms and premium rates of the insurance products we distribute for major insurance companies, the commission rates we earn, as well as the way we operate our auto eInsurance business in general. Regulations or administrative measures further restricting or reducing insurance premiums or insurance agency commissions could have material adverse impacts on the revenue and profitability of our auto eInsurance business. This is particularly the case if we are not able to increase our policy volume and sales efficiency to compensate for the effect of such regulatory changes or pass on any downward impact on our revenue to external participants in the insurance supply chain.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Impact of Global Inflationary Pressures</w:t>
      </w:r>
    </w:p>
    <w:p>
      <w:pPr>
        <w:spacing w:after="0" w:line="190" w:lineRule="exact"/>
        <w:rPr>
          <w:sz w:val="20"/>
          <w:szCs w:val="20"/>
          <w:color w:val="auto"/>
        </w:rPr>
      </w:pPr>
    </w:p>
    <w:p>
      <w:pPr>
        <w:jc w:val="both"/>
        <w:ind w:firstLine="541"/>
        <w:spacing w:after="0" w:line="255" w:lineRule="auto"/>
        <w:rPr>
          <w:sz w:val="20"/>
          <w:szCs w:val="20"/>
          <w:color w:val="auto"/>
        </w:rPr>
      </w:pPr>
      <w:r>
        <w:rPr>
          <w:rFonts w:ascii="Times New Roman" w:cs="Times New Roman" w:eastAsia="Times New Roman" w:hAnsi="Times New Roman"/>
          <w:sz w:val="15"/>
          <w:szCs w:val="15"/>
          <w:color w:val="auto"/>
        </w:rPr>
        <w:t>We face two types of possible inflationary pressure: a general pressure from an inflation-related economic slowdown, and a specific pressure from inflation on the price of fuel. First, we consider the impact of inflation on the business is immaterial as the operations are in China and China’s inflation rates have been relatively stable in the last three and a half years: approximately 2.0%, 0.2% and 0.2% for the years ended December 31, 2022, 2023 and 2024, respectively and negative 0.1% for the nine months ended September 30, 2025. Second, since the 2022 inflation episode was triggered by the conflict in Ukraine and the resulting increase in fossil fuel prices, it specifically impacts the automobile industry which still primarily relies on fossil fuel to power vehicles. Thus, with increasing fuel price, people may drive less and fewer people may choose to buy cars. As such, automotive-related industries, including insurance, technology services, and auto service industries, where we operate, would also be adversely impacted. However, we anticipate the pressure to be limited, since we have been working with car manufacturers directly and indirectly require the insurance companies to develop insurance products designed for EVs. We believe that, as EVs become increasingly popular, insurance for EVs can effectively increase our revenues and offset the adverse impact brought by the increased fuel prices.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192"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We prepare our unaudited condensed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historical data and other assumptions that we believe are reasonable after taking account of our circumstances and expectations for the future based on available information. We evaluate these estimates and assumptions on an ongoing basis.</w:t>
      </w:r>
    </w:p>
    <w:p>
      <w:pPr>
        <w:spacing w:after="0" w:line="154"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50"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The critical accounting policies, judgments, and estimates that we believe to have the most significant impact on our unaudited condensed consolidated financial statements are described below, which should be read in conjunction with our unaudited condensed consolidated financial statements and accompanying notes and other disclosures included elsewhere in this report of foreign private issuer on Form 6-K. When reviewing our financial statements, you should consider:</w:t>
      </w:r>
    </w:p>
    <w:p>
      <w:pPr>
        <w:spacing w:after="0" w:line="150" w:lineRule="exact"/>
        <w:rPr>
          <w:sz w:val="20"/>
          <w:szCs w:val="20"/>
          <w:color w:val="auto"/>
        </w:rPr>
      </w:pPr>
    </w:p>
    <w:p>
      <w:pPr>
        <w:ind w:left="800" w:hanging="269"/>
        <w:spacing w:after="0"/>
        <w:tabs>
          <w:tab w:leader="none" w:pos="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selection of critical accounting policies;</w:t>
      </w:r>
    </w:p>
    <w:p>
      <w:pPr>
        <w:spacing w:after="0" w:line="188" w:lineRule="exact"/>
        <w:rPr>
          <w:rFonts w:ascii="Times New Roman" w:cs="Times New Roman" w:eastAsia="Times New Roman" w:hAnsi="Times New Roman"/>
          <w:sz w:val="15"/>
          <w:szCs w:val="15"/>
          <w:color w:val="auto"/>
        </w:rPr>
      </w:pPr>
    </w:p>
    <w:p>
      <w:pPr>
        <w:ind w:left="800" w:hanging="269"/>
        <w:spacing w:after="0"/>
        <w:tabs>
          <w:tab w:leader="none" w:pos="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judgments and other uncertainties affecting the application of such policies;</w:t>
      </w:r>
    </w:p>
    <w:p>
      <w:pPr>
        <w:spacing w:after="0" w:line="188" w:lineRule="exact"/>
        <w:rPr>
          <w:rFonts w:ascii="Times New Roman" w:cs="Times New Roman" w:eastAsia="Times New Roman" w:hAnsi="Times New Roman"/>
          <w:sz w:val="15"/>
          <w:szCs w:val="15"/>
          <w:color w:val="auto"/>
        </w:rPr>
      </w:pPr>
    </w:p>
    <w:p>
      <w:pPr>
        <w:ind w:left="800" w:hanging="269"/>
        <w:spacing w:after="0"/>
        <w:tabs>
          <w:tab w:leader="none" w:pos="8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sensitivity of reported results to changes in conditions and assumptions.</w:t>
      </w:r>
    </w:p>
    <w:p>
      <w:pPr>
        <w:spacing w:after="0" w:line="188"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We consider an accounting estimates to be critical if: (i) the accounting estimates requires us to make assumptions about matters that were highly uncertain at the time the accounting estimate was made, and (ii) changes in the estimates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revenue recognition; (ii) allowance for credit losses; (iii) valuation allowances of deferred tax assets; and (iv) useful lives of software and equipment.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Revenue Recognition</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Revenues are mainly generated from providing auto eInsurance services, technology services, and auto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Auto eInsurance</w:t>
      </w:r>
    </w:p>
    <w:p>
      <w:pPr>
        <w:spacing w:after="0" w:line="188" w:lineRule="exact"/>
        <w:rPr>
          <w:sz w:val="20"/>
          <w:szCs w:val="20"/>
          <w:color w:val="auto"/>
        </w:rPr>
      </w:pPr>
    </w:p>
    <w:p>
      <w:pPr>
        <w:jc w:val="both"/>
        <w:ind w:firstLine="541"/>
        <w:spacing w:after="0" w:line="256" w:lineRule="auto"/>
        <w:rPr>
          <w:sz w:val="20"/>
          <w:szCs w:val="20"/>
          <w:color w:val="auto"/>
        </w:rPr>
      </w:pPr>
      <w:r>
        <w:rPr>
          <w:rFonts w:ascii="Times New Roman" w:cs="Times New Roman" w:eastAsia="Times New Roman" w:hAnsi="Times New Roman"/>
          <w:sz w:val="15"/>
          <w:szCs w:val="15"/>
          <w:color w:val="auto"/>
        </w:rPr>
        <w:t>We distribute automobile insurance through our eInsurance platform on behalf of the insurance companies and charge insurance companies intermediation service commissions. The commissions are determined as a percentage of premiums paid by the insured. Auto eInsurance services are considered to be rendered and completed, and revenue is recognized, at the time an insurance policy becomes effective, that is, when the signed insurance policy is in place and the premium has been collected from the insured. We have satisfied the performance obligation to recognize revenue when the premiums are collected by the respective insurance companies and not before, because collectability is not ensured until receipt of the premium. Accordingly, we do not accrue any auto eInsurance service commissions or fees prior to the receipt of the related premiums. No allowance for policy cancellations has been provided for intermediation services as cancellation of policies rarely occurs.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color w:val="auto"/>
        </w:rPr>
        <w:t>Technology Services</w:t>
      </w:r>
    </w:p>
    <w:p>
      <w:pPr>
        <w:spacing w:after="0" w:line="188"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We provide technology services including technical software and consulting related to automobile services and insurance, such as customer relationship management (CRM), order management, finance management and visual analysis systems. We charge service fees based on monthly fixed price contracts for services provided, and recognize revenue over time during the service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Auto Services</w:t>
      </w:r>
    </w:p>
    <w:p>
      <w:pPr>
        <w:spacing w:after="0" w:line="188" w:lineRule="exact"/>
        <w:rPr>
          <w:sz w:val="20"/>
          <w:szCs w:val="20"/>
          <w:color w:val="auto"/>
        </w:rPr>
      </w:pPr>
    </w:p>
    <w:p>
      <w:pPr>
        <w:jc w:val="both"/>
        <w:ind w:firstLine="541"/>
        <w:spacing w:after="0" w:line="254" w:lineRule="auto"/>
        <w:rPr>
          <w:sz w:val="20"/>
          <w:szCs w:val="20"/>
          <w:color w:val="auto"/>
        </w:rPr>
      </w:pPr>
      <w:r>
        <w:rPr>
          <w:rFonts w:ascii="Times New Roman" w:cs="Times New Roman" w:eastAsia="Times New Roman" w:hAnsi="Times New Roman"/>
          <w:sz w:val="15"/>
          <w:szCs w:val="15"/>
          <w:color w:val="auto"/>
        </w:rPr>
        <w:t>We define enterprise customers as our customers and we sell auto service coupons to enterprise customers, where each coupon represents one specific auto service. There are various service types including vehicle washing, waxing, maintenance, transportation services and roadside assistance. We identify each specific service coupon as a contract that establishes enforceable rights and obligations for each party. We charge the service fee at a fixed price per service when the service is performed. For service coupons with limited duration, we either charge the service fee at a fixed price per service when the service is performed or when the coupon expires, whether or not the service has been performed. We consider each service coupon to be a distinct service that is capable of providing a benefit to the customer on its own according to ASC 606-10-25-14(a). Therefore, we identify only one performance obligation under a contract, which is to provide a specific service or to stand ready to perform a specific service within a limited duration. We act as a principal as we control access to the services before the services are provided to customers and we have the ability to direct other parties to provide the services to customers on our behalf. Specifically, we have the ability to choose service providers, and are primarily responsible for the acceptability for the service meeting customer specifications, bears inventory risk after transfer of control of services to customers, and has the discretion in establishing the price with customers and with service providers and bears credit risk. We recognize revenue in the gross amount of consideration at a point of time when the service is provided, or when the service coupon expires. We do not provide refunds to the customers when a coupon is expired but not used.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Allowance for Credit Losses</w:t>
      </w:r>
    </w:p>
    <w:p>
      <w:pPr>
        <w:spacing w:after="0" w:line="190" w:lineRule="exact"/>
        <w:rPr>
          <w:sz w:val="20"/>
          <w:szCs w:val="20"/>
          <w:color w:val="auto"/>
        </w:rPr>
      </w:pPr>
    </w:p>
    <w:p>
      <w:pPr>
        <w:jc w:val="both"/>
        <w:ind w:firstLine="541"/>
        <w:spacing w:after="0" w:line="255" w:lineRule="auto"/>
        <w:rPr>
          <w:sz w:val="20"/>
          <w:szCs w:val="20"/>
          <w:color w:val="auto"/>
        </w:rPr>
      </w:pPr>
      <w:r>
        <w:rPr>
          <w:rFonts w:ascii="Times New Roman" w:cs="Times New Roman" w:eastAsia="Times New Roman" w:hAnsi="Times New Roman"/>
          <w:sz w:val="15"/>
          <w:szCs w:val="15"/>
          <w:color w:val="auto"/>
        </w:rPr>
        <w:t>Accounts receivable, net are stated at the original amounts less allowances for credit losses. Accounts receivable are recognized in the period when we have provided services to our customers and when our right to consideration is unconditional. We adopted ASC Topic 326, Financial Instruments-Credit Losses (Topic 326) from January 1, 2023 using modified-retrospective transition approach with a cumulative-effect adjustment to shareholders’ equity amounting to US$0.5 million recognized as of January 1, 2023. We assess collectability by reviewing accounts receivable on a collective basis where similar characteristics exist, primarily based on similar business lines, and on an individual basis when we identify specific customers with known disputes or collectability issues. In determining the amount of the allowance for credit losses, 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spacing w:after="0" w:line="159"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For the nine months ended September 30, 2024 and 2025, we recognized credit losses of US$2.4 million and US$5.1 million, respectively. A 10% increase in our credit losses provision would have increased our loss before income tax by 0.4% and 15.6% for the nine months ended September 30, 2024 and 2025,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Valuation Allowance of Deferred Tax Assets</w:t>
      </w:r>
    </w:p>
    <w:p>
      <w:pPr>
        <w:spacing w:after="0" w:line="190" w:lineRule="exact"/>
        <w:rPr>
          <w:sz w:val="20"/>
          <w:szCs w:val="20"/>
          <w:color w:val="auto"/>
        </w:rPr>
      </w:pPr>
    </w:p>
    <w:p>
      <w:pPr>
        <w:jc w:val="both"/>
        <w:ind w:firstLine="541"/>
        <w:spacing w:after="0" w:line="255" w:lineRule="auto"/>
        <w:rPr>
          <w:sz w:val="20"/>
          <w:szCs w:val="20"/>
          <w:color w:val="auto"/>
        </w:rPr>
      </w:pPr>
      <w:r>
        <w:rPr>
          <w:rFonts w:ascii="Times New Roman" w:cs="Times New Roman" w:eastAsia="Times New Roman" w:hAnsi="Times New Roman"/>
          <w:sz w:val="15"/>
          <w:szCs w:val="15"/>
          <w:color w:val="auto"/>
        </w:rPr>
        <w:t>Deferred tax assets are reduced by a valuation allowance when, in the opinion of management, it is more likely than not that some portion or all of the deferred tax assets will not be realized. We consider positive and negative evidence when determining whether a portion or all of our deferred tax assets will more likely than not be realized. This assessment considers, among other matters, the nature, frequency and severity of current and cumulative losses, forecasts of future profitability, the duration of statutory carry-forward periods, our experience with tax attributes expiring unused, and our tax planning strategies. The ultimate realization of deferred tax assets is dependent upon our ability to generate sufficient future taxable income within the carry-forward periods provided for in the tax law and during the periods in which the temporary differences become deductible. When assessing the realization of deferred tax assets, we have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5" w:name="page36"/>
    <w:bookmarkEnd w:id="35"/>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For the nine months ended September 30, 2024 and 2025, we reduced the valuation allowance of deferred tax assets of US$0.8 million and recognized the valuation allowance of US$1.4 million, respectively. A 10% increase in our valuation allowance of deferred tax assets would have increased net losses by 0.1% and 3.3% for the nine months ended September 30, 2024 and 2025,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Useful Lives of Property, Software and Equipment</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estimated useful lives of the property, software and equipment are based on the management’s best estimation, which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Category</w:t>
            </w: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Estimated useful lives</w:t>
            </w:r>
          </w:p>
        </w:tc>
      </w:tr>
      <w:tr>
        <w:trPr>
          <w:trHeight w:val="180"/>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Vehicles</w:t>
            </w:r>
          </w:p>
        </w:tc>
        <w:tc>
          <w:tcPr>
            <w:tcW w:w="100" w:type="dxa"/>
            <w:vAlign w:val="bottom"/>
            <w:tcBorders>
              <w:top w:val="single" w:sz="8" w:color="CCEEFF"/>
            </w:tcBorders>
            <w:shd w:val="clear" w:color="auto" w:fill="CCEEFF"/>
          </w:tcPr>
          <w:p>
            <w:pPr>
              <w:spacing w:after="0"/>
              <w:rPr>
                <w:sz w:val="15"/>
                <w:szCs w:val="15"/>
                <w:color w:val="auto"/>
              </w:rPr>
            </w:pPr>
          </w:p>
        </w:tc>
        <w:tc>
          <w:tcPr>
            <w:tcW w:w="4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3-5 years</w:t>
            </w: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Office equipment and furniture</w:t>
            </w: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3-5 years</w:t>
            </w:r>
          </w:p>
        </w:tc>
      </w:tr>
      <w:tr>
        <w:trPr>
          <w:trHeight w:val="18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Electronic equipment</w:t>
            </w:r>
          </w:p>
        </w:tc>
        <w:tc>
          <w:tcPr>
            <w:tcW w:w="4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 years</w:t>
            </w:r>
          </w:p>
        </w:tc>
      </w:tr>
      <w:tr>
        <w:trPr>
          <w:trHeight w:val="180"/>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Building</w:t>
            </w:r>
          </w:p>
        </w:tc>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9"/>
              </w:rPr>
              <w:t>20 years</w:t>
            </w:r>
          </w:p>
        </w:tc>
      </w:tr>
      <w:tr>
        <w:trPr>
          <w:trHeight w:val="180"/>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 software</w:t>
            </w:r>
          </w:p>
        </w:tc>
        <w:tc>
          <w:tcPr>
            <w:tcW w:w="4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5, 10 years</w:t>
            </w:r>
          </w:p>
        </w:tc>
      </w:tr>
      <w:tr>
        <w:trPr>
          <w:trHeight w:val="166"/>
        </w:trPr>
        <w:tc>
          <w:tcPr>
            <w:tcW w:w="708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Leasehold improvements</w:t>
            </w:r>
          </w:p>
        </w:tc>
        <w:tc>
          <w:tcPr>
            <w:tcW w:w="4180" w:type="dxa"/>
            <w:vAlign w:val="bottom"/>
            <w:gridSpan w:val="2"/>
          </w:tcPr>
          <w:p>
            <w:pPr>
              <w:jc w:val="center"/>
              <w:ind w:right="100"/>
              <w:spacing w:after="0" w:line="166" w:lineRule="exact"/>
              <w:rPr>
                <w:sz w:val="20"/>
                <w:szCs w:val="20"/>
                <w:color w:val="auto"/>
              </w:rPr>
            </w:pPr>
            <w:r>
              <w:rPr>
                <w:rFonts w:ascii="Times New Roman" w:cs="Times New Roman" w:eastAsia="Times New Roman" w:hAnsi="Times New Roman"/>
                <w:sz w:val="15"/>
                <w:szCs w:val="15"/>
                <w:color w:val="auto"/>
              </w:rPr>
              <w:t>Over the shorter of the lease term or the</w:t>
            </w:r>
          </w:p>
        </w:tc>
      </w:tr>
      <w:tr>
        <w:trPr>
          <w:trHeight w:val="19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estimated useful lives of the assets</w:t>
            </w:r>
          </w:p>
        </w:tc>
      </w:tr>
      <w:tr>
        <w:trPr>
          <w:trHeight w:val="361"/>
        </w:trPr>
        <w:tc>
          <w:tcPr>
            <w:tcW w:w="7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Key Components of Results of Operations</w:t>
            </w: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92"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Our revenues are derived from auto eInsurance service, technology service and auto service. The following table sets forth the breakdown of our total revenues, both in absolute amount and as a percentage of our total revenues,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7"/>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w:t>
            </w: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6"/>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 eInsurance service</w:t>
            </w:r>
          </w:p>
        </w:tc>
        <w:tc>
          <w:tcPr>
            <w:tcW w:w="3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right w:val="single" w:sz="8" w:color="CCEEFF"/>
            </w:tcBorders>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119,108</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38%</w:t>
            </w:r>
          </w:p>
        </w:tc>
        <w:tc>
          <w:tcPr>
            <w:tcW w:w="3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149,243</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Technology service</w:t>
            </w:r>
          </w:p>
        </w:tc>
        <w:tc>
          <w:tcPr>
            <w:tcW w:w="360" w:type="dxa"/>
            <w:vAlign w:val="bottom"/>
          </w:tcPr>
          <w:p>
            <w:pPr>
              <w:spacing w:after="0"/>
              <w:rPr>
                <w:sz w:val="15"/>
                <w:szCs w:val="15"/>
                <w:color w:val="auto"/>
              </w:rPr>
            </w:pPr>
          </w:p>
        </w:tc>
        <w:tc>
          <w:tcPr>
            <w:tcW w:w="102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color w:val="auto"/>
              </w:rPr>
              <w:t>34,046</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w:t>
            </w:r>
          </w:p>
        </w:tc>
        <w:tc>
          <w:tcPr>
            <w:tcW w:w="3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36,549</w:t>
            </w:r>
          </w:p>
        </w:tc>
        <w:tc>
          <w:tcPr>
            <w:tcW w:w="4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 service</w:t>
            </w:r>
          </w:p>
        </w:tc>
        <w:tc>
          <w:tcPr>
            <w:tcW w:w="36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rPr>
              <w:t>159,555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51%</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152,292</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20" w:type="dxa"/>
            <w:vAlign w:val="bottom"/>
            <w:vMerge w:val="continue"/>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color w:val="auto"/>
              </w:rPr>
              <w:t>312,709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36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338,084</w:t>
            </w:r>
          </w:p>
        </w:tc>
        <w:tc>
          <w:tcPr>
            <w:tcW w:w="4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Auto eInsurance Service. </w:t>
      </w:r>
      <w:r>
        <w:rPr>
          <w:rFonts w:ascii="Times New Roman" w:cs="Times New Roman" w:eastAsia="Times New Roman" w:hAnsi="Times New Roman"/>
          <w:sz w:val="15"/>
          <w:szCs w:val="15"/>
          <w:color w:val="auto"/>
        </w:rPr>
        <w:t>We provide auto eInsurance service distributing automobile insurance products on behalf of insurance companies. Auto eInsurance services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considered to be rendered and completed and revenue is recognized at the time an insurance policy becomes effective, i.e. when the signed insurance policy is in place and the premium is collected from the insured. We recognize revenue when the premiums are collected by the respective insurance companies, because collectability is not ensured until receipt of the premium. Accordingly, we do not accrue any commission and fees prior to the receipt of the relevant premiums.</w:t>
      </w:r>
    </w:p>
    <w:p>
      <w:pPr>
        <w:spacing w:after="0" w:line="151"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Technology Service. </w:t>
      </w:r>
      <w:r>
        <w:rPr>
          <w:rFonts w:ascii="Times New Roman" w:cs="Times New Roman" w:eastAsia="Times New Roman" w:hAnsi="Times New Roman"/>
          <w:sz w:val="15"/>
          <w:szCs w:val="15"/>
          <w:color w:val="auto"/>
        </w:rPr>
        <w:t>We operate our technology service business by providing technical software and consulting related to automobile services and insurance, including modular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management tools such as customer relationship management, order management, finance management and visual analysis systems. For the use of our technology services, we charge technology service fees based on fixed prices per service period (usually one month) for service provided, and recognize revenue over time during the service period.</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6" w:name="page37"/>
    <w:bookmarkEnd w:id="36"/>
    <w:p>
      <w:pPr>
        <w:jc w:val="both"/>
        <w:ind w:left="10" w:firstLine="541"/>
        <w:spacing w:after="0" w:line="258" w:lineRule="auto"/>
        <w:rPr>
          <w:sz w:val="20"/>
          <w:szCs w:val="20"/>
          <w:color w:val="auto"/>
        </w:rPr>
      </w:pPr>
      <w:r>
        <w:rPr>
          <w:rFonts w:ascii="Times New Roman" w:cs="Times New Roman" w:eastAsia="Times New Roman" w:hAnsi="Times New Roman"/>
          <w:sz w:val="15"/>
          <w:szCs w:val="15"/>
          <w:i w:val="1"/>
          <w:iCs w:val="1"/>
          <w:color w:val="auto"/>
        </w:rPr>
        <w:t xml:space="preserve">Auto Service. </w:t>
      </w:r>
      <w:r>
        <w:rPr>
          <w:rFonts w:ascii="Times New Roman" w:cs="Times New Roman" w:eastAsia="Times New Roman" w:hAnsi="Times New Roman"/>
          <w:sz w:val="15"/>
          <w:szCs w:val="15"/>
          <w:color w:val="auto"/>
        </w:rPr>
        <w:t>We provide customized auto service to enterprises, who ultimately offer them to their end customers. These services include necessary maintenance as well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regular services such as car wash, oil change, tire repair, car beautification, road assistance, flight pickup, designated driving, VIP lounge, etc. We charge a service fee either based on the number of service items completed at a fixed price per item, or, charge for service coupons with a limited duration term, whether or not the services have been performed. We act as the principal supplier and control the access to the services before providing them to end customers. Therefore, we recognize revenue in the gross amount of consideration at the point of time when the service is provided, or when the service coupons with limited duration term have expired.</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Operating costs and expenses</w:t>
      </w:r>
    </w:p>
    <w:p>
      <w:pPr>
        <w:spacing w:after="0" w:line="19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The following table sets forth our operating costs and expenses, both in absolute amounts and as a percentage of total revenues, for the periods indicated.</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59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8"/>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 30,</w:t>
            </w: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2024</w:t>
            </w: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7"/>
          </w:tcPr>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(In thousands, except for percentages)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Integrated service cost</w:t>
            </w:r>
          </w:p>
        </w:tc>
        <w:tc>
          <w:tcPr>
            <w:tcW w:w="3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158,843</w:t>
            </w:r>
          </w:p>
        </w:tc>
        <w:tc>
          <w:tcPr>
            <w:tcW w:w="4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51%</w:t>
            </w:r>
          </w:p>
        </w:tc>
        <w:tc>
          <w:tcPr>
            <w:tcW w:w="3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154,286</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Promotional service expenses</w:t>
            </w:r>
          </w:p>
        </w:tc>
        <w:tc>
          <w:tcPr>
            <w:tcW w:w="360" w:type="dxa"/>
            <w:vAlign w:val="bottom"/>
          </w:tcPr>
          <w:p>
            <w:pPr>
              <w:spacing w:after="0"/>
              <w:rPr>
                <w:sz w:val="15"/>
                <w:szCs w:val="15"/>
                <w:color w:val="auto"/>
              </w:rPr>
            </w:pPr>
          </w:p>
        </w:tc>
        <w:tc>
          <w:tcPr>
            <w:tcW w:w="9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113,845</w:t>
            </w:r>
          </w:p>
        </w:tc>
        <w:tc>
          <w:tcPr>
            <w:tcW w:w="4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w:t>
            </w:r>
          </w:p>
        </w:tc>
        <w:tc>
          <w:tcPr>
            <w:tcW w:w="3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145,109</w:t>
            </w:r>
          </w:p>
        </w:tc>
        <w:tc>
          <w:tcPr>
            <w:tcW w:w="4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expenses</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20,683</w:t>
            </w:r>
          </w:p>
        </w:tc>
        <w:tc>
          <w:tcPr>
            <w:tcW w:w="4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w:t>
            </w:r>
          </w:p>
        </w:tc>
        <w:tc>
          <w:tcPr>
            <w:tcW w:w="3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15,867</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360" w:type="dxa"/>
            <w:vAlign w:val="bottom"/>
          </w:tcPr>
          <w:p>
            <w:pPr>
              <w:spacing w:after="0"/>
              <w:rPr>
                <w:sz w:val="15"/>
                <w:szCs w:val="15"/>
                <w:color w:val="auto"/>
              </w:rPr>
            </w:pPr>
          </w:p>
        </w:tc>
        <w:tc>
          <w:tcPr>
            <w:tcW w:w="9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44,079</w:t>
            </w:r>
          </w:p>
        </w:tc>
        <w:tc>
          <w:tcPr>
            <w:tcW w:w="4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w:t>
            </w:r>
          </w:p>
        </w:tc>
        <w:tc>
          <w:tcPr>
            <w:tcW w:w="3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17,678</w:t>
            </w:r>
          </w:p>
        </w:tc>
        <w:tc>
          <w:tcPr>
            <w:tcW w:w="46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33,625</w:t>
            </w:r>
          </w:p>
        </w:tc>
        <w:tc>
          <w:tcPr>
            <w:tcW w:w="4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3,437</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Total</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20" w:type="dxa"/>
            <w:vAlign w:val="bottom"/>
            <w:vMerge w:val="continue"/>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371,075</w:t>
            </w:r>
          </w:p>
        </w:tc>
        <w:tc>
          <w:tcPr>
            <w:tcW w:w="4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119%</w:t>
            </w:r>
          </w:p>
        </w:tc>
        <w:tc>
          <w:tcPr>
            <w:tcW w:w="36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336,377</w:t>
            </w:r>
          </w:p>
        </w:tc>
        <w:tc>
          <w:tcPr>
            <w:tcW w:w="46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 w:firstLine="541"/>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Integrated service cost. </w:t>
      </w:r>
      <w:r>
        <w:rPr>
          <w:rFonts w:ascii="Times New Roman" w:cs="Times New Roman" w:eastAsia="Times New Roman" w:hAnsi="Times New Roman"/>
          <w:sz w:val="15"/>
          <w:szCs w:val="15"/>
          <w:color w:val="auto"/>
        </w:rPr>
        <w:t>The integrated service cost primarily consists of (i) service fees paid to suppliers engaged to provide technical support for our technology service; and (ii)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service fees paid to auto service providers to provide customized service for end customers of its enterprise customers. The service fee is determined based on and recognized in the period of the actual services rendered.</w:t>
      </w:r>
    </w:p>
    <w:p>
      <w:pPr>
        <w:spacing w:after="0" w:line="14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i w:val="1"/>
          <w:iCs w:val="1"/>
          <w:color w:val="auto"/>
        </w:rPr>
        <w:t xml:space="preserve">Promotional Service Expenses. </w:t>
      </w:r>
      <w:r>
        <w:rPr>
          <w:rFonts w:ascii="Times New Roman" w:cs="Times New Roman" w:eastAsia="Times New Roman" w:hAnsi="Times New Roman"/>
          <w:sz w:val="15"/>
          <w:szCs w:val="15"/>
          <w:color w:val="auto"/>
        </w:rPr>
        <w:t>Promotional service expenses represent (i) promotional service fees to expand extensive networks primarily of auto eInsurance sales partners; and</w:t>
      </w:r>
    </w:p>
    <w:p>
      <w:pPr>
        <w:spacing w:after="0" w:line="23" w:lineRule="exact"/>
        <w:rPr>
          <w:sz w:val="20"/>
          <w:szCs w:val="20"/>
          <w:color w:val="auto"/>
        </w:rPr>
      </w:pPr>
    </w:p>
    <w:p>
      <w:pPr>
        <w:ind w:left="10" w:right="20" w:hanging="10"/>
        <w:spacing w:after="0" w:line="261" w:lineRule="auto"/>
        <w:tabs>
          <w:tab w:leader="none" w:pos="244"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 fees we pay to promotion channels, including but not limited to offline after-sales networks, online platforms, and emerging EV OEMs and service providers. Promotional service expenses are recognized in the period incurred.</w:t>
      </w:r>
    </w:p>
    <w:p>
      <w:pPr>
        <w:spacing w:after="0" w:line="150" w:lineRule="exact"/>
        <w:rPr>
          <w:sz w:val="20"/>
          <w:szCs w:val="20"/>
          <w:color w:val="auto"/>
        </w:rPr>
      </w:pPr>
    </w:p>
    <w:p>
      <w:pPr>
        <w:jc w:val="both"/>
        <w:ind w:left="10" w:firstLine="541"/>
        <w:spacing w:after="0" w:line="267" w:lineRule="auto"/>
        <w:rPr>
          <w:sz w:val="20"/>
          <w:szCs w:val="20"/>
          <w:color w:val="auto"/>
        </w:rPr>
      </w:pPr>
      <w:r>
        <w:rPr>
          <w:rFonts w:ascii="Times New Roman" w:cs="Times New Roman" w:eastAsia="Times New Roman" w:hAnsi="Times New Roman"/>
          <w:sz w:val="15"/>
          <w:szCs w:val="15"/>
          <w:i w:val="1"/>
          <w:iCs w:val="1"/>
          <w:color w:val="auto"/>
        </w:rPr>
        <w:t>Selling Expenses</w:t>
      </w:r>
      <w:r>
        <w:rPr>
          <w:rFonts w:ascii="Times New Roman" w:cs="Times New Roman" w:eastAsia="Times New Roman" w:hAnsi="Times New Roman"/>
          <w:sz w:val="15"/>
          <w:szCs w:val="15"/>
          <w:color w:val="auto"/>
        </w:rPr>
        <w:t>. Selling expenses primarily consist of (i) IT service fee for technology service; (ii) salaries and employment benefits for employees who work in the service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lines; (iii) promotional service fees; (iv) communication and travel expenses, and (v) depreciation expenses related to sales. Depreciation expenses are calculated on a straight-line basis over the estimated useful lives of the assets.</w:t>
      </w:r>
    </w:p>
    <w:p>
      <w:pPr>
        <w:spacing w:after="0" w:line="145" w:lineRule="exact"/>
        <w:rPr>
          <w:sz w:val="20"/>
          <w:szCs w:val="20"/>
          <w:color w:val="auto"/>
        </w:rPr>
      </w:pPr>
    </w:p>
    <w:p>
      <w:pPr>
        <w:jc w:val="both"/>
        <w:ind w:left="10" w:right="20" w:firstLine="541"/>
        <w:spacing w:after="0" w:line="283"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Expenses. </w:t>
      </w:r>
      <w:r>
        <w:rPr>
          <w:rFonts w:ascii="Times New Roman" w:cs="Times New Roman" w:eastAsia="Times New Roman" w:hAnsi="Times New Roman"/>
          <w:sz w:val="15"/>
          <w:szCs w:val="15"/>
          <w:color w:val="auto"/>
        </w:rPr>
        <w:t>General and administrative expenses primarily consist of (i) staff costs, rental and depreciation expenses related to general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administrative personnel; (ii) share-based compensation expenses; and (iii) other corporate expenses.</w:t>
      </w:r>
    </w:p>
    <w:p>
      <w:pPr>
        <w:spacing w:after="0" w:line="134" w:lineRule="exact"/>
        <w:rPr>
          <w:sz w:val="20"/>
          <w:szCs w:val="20"/>
          <w:color w:val="auto"/>
        </w:rPr>
      </w:pPr>
    </w:p>
    <w:p>
      <w:pPr>
        <w:jc w:val="both"/>
        <w:ind w:left="10" w:firstLine="541"/>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Research and Development Expenses. </w:t>
      </w:r>
      <w:r>
        <w:rPr>
          <w:rFonts w:ascii="Times New Roman" w:cs="Times New Roman" w:eastAsia="Times New Roman" w:hAnsi="Times New Roman"/>
          <w:sz w:val="15"/>
          <w:szCs w:val="15"/>
          <w:color w:val="auto"/>
        </w:rPr>
        <w:t>Research and development expenses primarily consist of payroll and employee benefits for research and development employees, rental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expenses, utilities, and other related expenses to design, develop, and maintain the technology service platform and to support its internal and external customers, and for share-based compensation expenses.</w:t>
      </w:r>
    </w:p>
    <w:p>
      <w:pPr>
        <w:spacing w:after="0" w:line="3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518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Nine Months Ended September 30, 2025 compared with Nine Months Ended September 30, 2024</w:t>
      </w:r>
    </w:p>
    <w:p>
      <w:pPr>
        <w:spacing w:after="0" w:line="192" w:lineRule="exact"/>
        <w:rPr>
          <w:sz w:val="20"/>
          <w:szCs w:val="20"/>
          <w:color w:val="auto"/>
        </w:rPr>
      </w:pPr>
    </w:p>
    <w:p>
      <w:pPr>
        <w:jc w:val="both"/>
        <w:ind w:firstLine="300"/>
        <w:spacing w:after="0" w:line="265" w:lineRule="auto"/>
        <w:rPr>
          <w:sz w:val="20"/>
          <w:szCs w:val="20"/>
          <w:color w:val="auto"/>
        </w:rPr>
      </w:pPr>
      <w:r>
        <w:rPr>
          <w:rFonts w:ascii="Times New Roman" w:cs="Times New Roman" w:eastAsia="Times New Roman" w:hAnsi="Times New Roman"/>
          <w:sz w:val="15"/>
          <w:szCs w:val="15"/>
          <w:color w:val="auto"/>
        </w:rPr>
        <w:t>The following table sets forth a summary of unaudited condensed consolidated results of operations for the periods indicated. This information should be read together with unaudited condensed consolidated financial statements and related notes included elsewhere in this report. The operating results in any period are not necessarily indicative of the results that may be expected for any future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2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Revenue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5920" w:type="dxa"/>
            <w:vAlign w:val="bottom"/>
          </w:tcPr>
          <w:p>
            <w:pPr>
              <w:spacing w:after="0"/>
              <w:rPr>
                <w:sz w:val="24"/>
                <w:szCs w:val="24"/>
                <w:color w:val="auto"/>
              </w:rPr>
            </w:pPr>
          </w:p>
        </w:tc>
        <w:tc>
          <w:tcPr>
            <w:tcW w:w="2620" w:type="dxa"/>
            <w:vAlign w:val="bottom"/>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8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20" w:type="dxa"/>
            <w:vAlign w:val="bottom"/>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 eInsurance service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right w:val="single" w:sz="8" w:color="CCEEFF"/>
            </w:tcBorders>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119,108</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149,243</w:t>
            </w:r>
          </w:p>
        </w:tc>
        <w:tc>
          <w:tcPr>
            <w:tcW w:w="2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30,135</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Technology service</w:t>
            </w:r>
          </w:p>
        </w:tc>
        <w:tc>
          <w:tcPr>
            <w:tcW w:w="2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34,046</w:t>
            </w:r>
          </w:p>
        </w:tc>
        <w:tc>
          <w:tcPr>
            <w:tcW w:w="2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36,549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2,503</w:t>
            </w:r>
          </w:p>
        </w:tc>
        <w:tc>
          <w:tcPr>
            <w:tcW w:w="3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 service</w:t>
            </w: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159,555</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5"/>
                <w:szCs w:val="15"/>
                <w:color w:val="auto"/>
              </w:rPr>
              <w:t>152,292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(7,263)</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312,709</w:t>
            </w: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338,084</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25,375</w:t>
            </w:r>
          </w:p>
        </w:tc>
        <w:tc>
          <w:tcPr>
            <w:tcW w:w="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Integrated service cost</w:t>
            </w:r>
          </w:p>
        </w:tc>
        <w:tc>
          <w:tcPr>
            <w:tcW w:w="220" w:type="dxa"/>
            <w:vAlign w:val="bottom"/>
            <w:shd w:val="clear" w:color="auto" w:fill="CCEEFF"/>
          </w:tcPr>
          <w:p>
            <w:pPr>
              <w:spacing w:after="0"/>
              <w:rPr>
                <w:sz w:val="15"/>
                <w:szCs w:val="15"/>
                <w:color w:val="auto"/>
              </w:rPr>
            </w:pPr>
          </w:p>
        </w:tc>
        <w:tc>
          <w:tcPr>
            <w:tcW w:w="1120" w:type="dxa"/>
            <w:vAlign w:val="bottom"/>
            <w:tcBorders>
              <w:right w:val="single" w:sz="8" w:color="CCEEFF"/>
            </w:tcBorders>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(158,843)</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(154,286)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4,557</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Promotional service expenses</w:t>
            </w:r>
          </w:p>
        </w:tc>
        <w:tc>
          <w:tcPr>
            <w:tcW w:w="220" w:type="dxa"/>
            <w:vAlign w:val="bottom"/>
          </w:tcPr>
          <w:p>
            <w:pPr>
              <w:spacing w:after="0"/>
              <w:rPr>
                <w:sz w:val="15"/>
                <w:szCs w:val="15"/>
                <w:color w:val="auto"/>
              </w:rPr>
            </w:pPr>
          </w:p>
        </w:tc>
        <w:tc>
          <w:tcPr>
            <w:tcW w:w="11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(113,845)</w:t>
            </w:r>
          </w:p>
        </w:tc>
        <w:tc>
          <w:tcPr>
            <w:tcW w:w="24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(145,109)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(31,264)</w:t>
            </w:r>
          </w:p>
        </w:tc>
        <w:tc>
          <w:tcPr>
            <w:tcW w:w="3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expenses</w:t>
            </w:r>
          </w:p>
        </w:tc>
        <w:tc>
          <w:tcPr>
            <w:tcW w:w="220" w:type="dxa"/>
            <w:vAlign w:val="bottom"/>
            <w:shd w:val="clear" w:color="auto" w:fill="CCEEFF"/>
          </w:tcPr>
          <w:p>
            <w:pPr>
              <w:spacing w:after="0"/>
              <w:rPr>
                <w:sz w:val="15"/>
                <w:szCs w:val="15"/>
                <w:color w:val="auto"/>
              </w:rPr>
            </w:pPr>
          </w:p>
        </w:tc>
        <w:tc>
          <w:tcPr>
            <w:tcW w:w="1120" w:type="dxa"/>
            <w:vAlign w:val="bottom"/>
            <w:tcBorders>
              <w:right w:val="single" w:sz="8" w:color="CCEEFF"/>
            </w:tcBorders>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(20,683)</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(15,867)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4,816</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220" w:type="dxa"/>
            <w:vAlign w:val="bottom"/>
          </w:tcPr>
          <w:p>
            <w:pPr>
              <w:spacing w:after="0"/>
              <w:rPr>
                <w:sz w:val="15"/>
                <w:szCs w:val="15"/>
                <w:color w:val="auto"/>
              </w:rPr>
            </w:pPr>
          </w:p>
        </w:tc>
        <w:tc>
          <w:tcPr>
            <w:tcW w:w="11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(44,079)</w:t>
            </w:r>
          </w:p>
        </w:tc>
        <w:tc>
          <w:tcPr>
            <w:tcW w:w="24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(17,678)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26,401</w:t>
            </w:r>
          </w:p>
        </w:tc>
        <w:tc>
          <w:tcPr>
            <w:tcW w:w="3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(33,625)</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(3,437)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30,188</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(371,075)</w:t>
            </w: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(336,377)</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34,698</w:t>
            </w:r>
          </w:p>
        </w:tc>
        <w:tc>
          <w:tcPr>
            <w:tcW w:w="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Income/(loss)</w:t>
            </w:r>
          </w:p>
        </w:tc>
        <w:tc>
          <w:tcPr>
            <w:tcW w:w="220" w:type="dxa"/>
            <w:vAlign w:val="bottom"/>
          </w:tcPr>
          <w:p>
            <w:pPr>
              <w:spacing w:after="0"/>
              <w:rPr>
                <w:sz w:val="15"/>
                <w:szCs w:val="15"/>
                <w:color w:val="auto"/>
              </w:rPr>
            </w:pPr>
          </w:p>
        </w:tc>
        <w:tc>
          <w:tcPr>
            <w:tcW w:w="11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(58,366)</w:t>
            </w:r>
          </w:p>
        </w:tc>
        <w:tc>
          <w:tcPr>
            <w:tcW w:w="2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b w:val="1"/>
                <w:bCs w:val="1"/>
                <w:color w:val="auto"/>
              </w:rPr>
              <w:t>1,707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60,073</w:t>
            </w:r>
          </w:p>
        </w:tc>
        <w:tc>
          <w:tcPr>
            <w:tcW w:w="3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-103%</w:t>
            </w: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expenses, net</w:t>
            </w:r>
          </w:p>
        </w:tc>
        <w:tc>
          <w:tcPr>
            <w:tcW w:w="220" w:type="dxa"/>
            <w:vAlign w:val="bottom"/>
            <w:shd w:val="clear" w:color="auto" w:fill="CCEEFF"/>
          </w:tcPr>
          <w:p>
            <w:pPr>
              <w:spacing w:after="0"/>
              <w:rPr>
                <w:sz w:val="15"/>
                <w:szCs w:val="15"/>
                <w:color w:val="auto"/>
              </w:rPr>
            </w:pPr>
          </w:p>
        </w:tc>
        <w:tc>
          <w:tcPr>
            <w:tcW w:w="1120" w:type="dxa"/>
            <w:vAlign w:val="bottom"/>
            <w:tcBorders>
              <w:right w:val="single" w:sz="8" w:color="CCEEFF"/>
            </w:tcBorders>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(3,463)</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(3,143)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320</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Investment income</w:t>
            </w:r>
          </w:p>
        </w:tc>
        <w:tc>
          <w:tcPr>
            <w:tcW w:w="220" w:type="dxa"/>
            <w:vAlign w:val="bottom"/>
          </w:tcPr>
          <w:p>
            <w:pPr>
              <w:spacing w:after="0"/>
              <w:rPr>
                <w:sz w:val="15"/>
                <w:szCs w:val="15"/>
                <w:color w:val="auto"/>
              </w:rPr>
            </w:pPr>
          </w:p>
        </w:tc>
        <w:tc>
          <w:tcPr>
            <w:tcW w:w="112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418</w:t>
            </w:r>
          </w:p>
        </w:tc>
        <w:tc>
          <w:tcPr>
            <w:tcW w:w="2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358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(60)</w:t>
            </w:r>
          </w:p>
        </w:tc>
        <w:tc>
          <w:tcPr>
            <w:tcW w:w="3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income/(expense), net</w:t>
            </w: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769</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(2,208)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(2,977)</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other expenses, net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(2,276)</w:t>
            </w: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(4,993)</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(2,717)</w:t>
            </w:r>
          </w:p>
        </w:tc>
        <w:tc>
          <w:tcPr>
            <w:tcW w:w="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before income tax expense</w:t>
            </w:r>
          </w:p>
        </w:tc>
        <w:tc>
          <w:tcPr>
            <w:tcW w:w="220" w:type="dxa"/>
            <w:vAlign w:val="bottom"/>
          </w:tcPr>
          <w:p>
            <w:pPr>
              <w:spacing w:after="0"/>
              <w:rPr>
                <w:sz w:val="15"/>
                <w:szCs w:val="15"/>
                <w:color w:val="auto"/>
              </w:rPr>
            </w:pPr>
          </w:p>
        </w:tc>
        <w:tc>
          <w:tcPr>
            <w:tcW w:w="112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(60,642)</w:t>
            </w:r>
          </w:p>
        </w:tc>
        <w:tc>
          <w:tcPr>
            <w:tcW w:w="240" w:type="dxa"/>
            <w:vAlign w:val="bottom"/>
          </w:tcPr>
          <w:p>
            <w:pPr>
              <w:spacing w:after="0"/>
              <w:rPr>
                <w:sz w:val="15"/>
                <w:szCs w:val="15"/>
                <w:color w:val="auto"/>
              </w:rPr>
            </w:pPr>
          </w:p>
        </w:tc>
        <w:tc>
          <w:tcPr>
            <w:tcW w:w="10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(3,286)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57,356</w:t>
            </w:r>
          </w:p>
        </w:tc>
        <w:tc>
          <w:tcPr>
            <w:tcW w:w="3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w:t>
            </w:r>
          </w:p>
        </w:tc>
        <w:tc>
          <w:tcPr>
            <w:tcW w:w="0" w:type="dxa"/>
            <w:vAlign w:val="bottom"/>
          </w:tcPr>
          <w:p>
            <w:pPr>
              <w:spacing w:after="0"/>
              <w:rPr>
                <w:sz w:val="1"/>
                <w:szCs w:val="1"/>
                <w:color w:val="auto"/>
              </w:rPr>
            </w:pPr>
          </w:p>
        </w:tc>
      </w:tr>
      <w:tr>
        <w:trPr>
          <w:trHeight w:val="192"/>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22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(931)</w:t>
            </w: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(840)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91</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(61,573)</w:t>
            </w:r>
          </w:p>
        </w:tc>
        <w:tc>
          <w:tcPr>
            <w:tcW w:w="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(4,126)</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57,447</w:t>
            </w:r>
          </w:p>
        </w:tc>
        <w:tc>
          <w:tcPr>
            <w:tcW w:w="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line="163" w:lineRule="exact"/>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18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difference</w:t>
            </w:r>
          </w:p>
        </w:tc>
        <w:tc>
          <w:tcPr>
            <w:tcW w:w="220" w:type="dxa"/>
            <w:vAlign w:val="bottom"/>
          </w:tcPr>
          <w:p>
            <w:pPr>
              <w:spacing w:after="0"/>
              <w:rPr>
                <w:sz w:val="16"/>
                <w:szCs w:val="16"/>
                <w:color w:val="auto"/>
              </w:rPr>
            </w:pPr>
          </w:p>
        </w:tc>
        <w:tc>
          <w:tcPr>
            <w:tcW w:w="112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813</w:t>
            </w:r>
          </w:p>
        </w:tc>
        <w:tc>
          <w:tcPr>
            <w:tcW w:w="240" w:type="dxa"/>
            <w:vAlign w:val="bottom"/>
          </w:tcPr>
          <w:p>
            <w:pPr>
              <w:spacing w:after="0"/>
              <w:rPr>
                <w:sz w:val="16"/>
                <w:szCs w:val="16"/>
                <w:color w:val="auto"/>
              </w:rPr>
            </w:pPr>
          </w:p>
        </w:tc>
        <w:tc>
          <w:tcPr>
            <w:tcW w:w="1040" w:type="dxa"/>
            <w:vAlign w:val="bottom"/>
            <w:gridSpan w:val="2"/>
          </w:tcPr>
          <w:p>
            <w:pPr>
              <w:jc w:val="right"/>
              <w:ind w:right="102"/>
              <w:spacing w:after="0"/>
              <w:rPr>
                <w:sz w:val="20"/>
                <w:szCs w:val="20"/>
                <w:color w:val="auto"/>
              </w:rPr>
            </w:pPr>
            <w:r>
              <w:rPr>
                <w:rFonts w:ascii="Times New Roman" w:cs="Times New Roman" w:eastAsia="Times New Roman" w:hAnsi="Times New Roman"/>
                <w:sz w:val="15"/>
                <w:szCs w:val="15"/>
                <w:color w:val="auto"/>
              </w:rPr>
              <w:t>1,577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764</w:t>
            </w:r>
          </w:p>
        </w:tc>
        <w:tc>
          <w:tcPr>
            <w:tcW w:w="30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23"/>
        </w:trPr>
        <w:tc>
          <w:tcPr>
            <w:tcW w:w="5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0" w:type="dxa"/>
            <w:vAlign w:val="bottom"/>
          </w:tcPr>
          <w:p>
            <w:pPr>
              <w:spacing w:after="0" w:line="20" w:lineRule="exact"/>
              <w:rPr>
                <w:sz w:val="1"/>
                <w:szCs w:val="1"/>
                <w:color w:val="auto"/>
              </w:rPr>
            </w:pPr>
          </w:p>
        </w:tc>
      </w:tr>
      <w:tr>
        <w:trPr>
          <w:trHeight w:val="205"/>
        </w:trPr>
        <w:tc>
          <w:tcPr>
            <w:tcW w:w="59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(60,760</w:t>
            </w:r>
          </w:p>
        </w:tc>
        <w:tc>
          <w:tcPr>
            <w:tcW w:w="220" w:type="dxa"/>
            <w:vAlign w:val="bottom"/>
            <w:tcBorders>
              <w:right w:val="single" w:sz="8" w:color="CCEEFF"/>
            </w:tcBorders>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(2,549</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58,211</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w:t>
            </w:r>
          </w:p>
        </w:tc>
        <w:tc>
          <w:tcPr>
            <w:tcW w:w="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total revenue increased by 8% from US$312.7 million for the nine months ended September 30, 2024 to US$338.1 million for the nine months ended September 30, 2025.</w:t>
      </w:r>
    </w:p>
    <w:p>
      <w:pPr>
        <w:spacing w:after="0" w:line="186"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i w:val="1"/>
          <w:iCs w:val="1"/>
          <w:color w:val="auto"/>
        </w:rPr>
        <w:t xml:space="preserve">Auto eInsurance service. </w:t>
      </w:r>
      <w:r>
        <w:rPr>
          <w:rFonts w:ascii="Times New Roman" w:cs="Times New Roman" w:eastAsia="Times New Roman" w:hAnsi="Times New Roman"/>
          <w:sz w:val="15"/>
          <w:szCs w:val="15"/>
          <w:color w:val="auto"/>
        </w:rPr>
        <w:t>Auto eInsurance service revenue increased by 25% from US$119.1 million for the nine months ended September 30, 2024 to US$149.2 million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nine months ended September 30, 2025, which was driven by the increasing number of insurance policies sold for the nine months ended September 30, 2025. EV sales have been increasing sharply in recent years, and thus, the revenue of our auto eInsurance business has been rising rapidly. The revenue from EV insurance services amounted to US$47.3 million for the nine months ended September 30, 2025, as compared to US$27.4 million for the nine months ended September 30, 2024, representing a significant increase of 72.6%.</w:t>
      </w:r>
    </w:p>
    <w:p>
      <w:pPr>
        <w:spacing w:after="0" w:line="151"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Technology service. </w:t>
      </w:r>
      <w:r>
        <w:rPr>
          <w:rFonts w:ascii="Times New Roman" w:cs="Times New Roman" w:eastAsia="Times New Roman" w:hAnsi="Times New Roman"/>
          <w:sz w:val="15"/>
          <w:szCs w:val="15"/>
          <w:color w:val="auto"/>
        </w:rPr>
        <w:t>Technology service revenue increased by 7% from US$34.0 million for the nine months ended September 30, 2024 to US$36.5 million for the nine months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ended September 30, 2025. With growing demands to efficiently manage their businesses, more enterprise customers are now paying for our online tools to streamline their business workflows, manage their customer relationships and automate orders processing. With the iterative upgrades of our technology, we are working on developing a SaaS model product offering and plan to gradually turn our enterprise customers into our technology service customers. Through the application of our Private Cloud Platform, our development process was simplified, and we can easily integrate various tools for software development, testing, operations and maintenance. This has strengthened our software platform and increased its business capacity to better serve the customers’ needs.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8" w:name="page39"/>
    <w:bookmarkEnd w:id="38"/>
    <w:p>
      <w:pPr>
        <w:jc w:val="both"/>
        <w:ind w:firstLine="541"/>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Auto service. </w:t>
      </w:r>
      <w:r>
        <w:rPr>
          <w:rFonts w:ascii="Times New Roman" w:cs="Times New Roman" w:eastAsia="Times New Roman" w:hAnsi="Times New Roman"/>
          <w:sz w:val="15"/>
          <w:szCs w:val="15"/>
          <w:color w:val="auto"/>
        </w:rPr>
        <w:t>Auto service revenue decreased by 5% from US$159.6 million for the nine months ended September 30, 2024 to US$152.3 million for the nine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September 30, 2025. The decrease was driven by our deliberate decision to discontinue certain low-margin businesses in the first three quarters of 2025 and the accompanying decrease of service orders.</w:t>
      </w:r>
    </w:p>
    <w:p>
      <w:pPr>
        <w:spacing w:after="0" w:line="145"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i w:val="1"/>
          <w:iCs w:val="1"/>
          <w:color w:val="auto"/>
        </w:rPr>
        <w:t xml:space="preserve">Operating costs and expenses. </w:t>
      </w:r>
      <w:r>
        <w:rPr>
          <w:rFonts w:ascii="Times New Roman" w:cs="Times New Roman" w:eastAsia="Times New Roman" w:hAnsi="Times New Roman"/>
          <w:sz w:val="15"/>
          <w:szCs w:val="15"/>
          <w:color w:val="auto"/>
        </w:rPr>
        <w:t>Operating costs and expenses decreased by 9% from US$371.1 million for the nine months ended September 30, 2024 to US$336.4 million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nine months ended September 30, 2025, which is mainly caused by the reduction of share-based compensation of US$62.0 million happened in 2024.</w:t>
      </w:r>
    </w:p>
    <w:p>
      <w:pPr>
        <w:spacing w:after="0" w:line="134"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i w:val="1"/>
          <w:iCs w:val="1"/>
          <w:color w:val="auto"/>
        </w:rPr>
        <w:t xml:space="preserve">Integrated service cost. </w:t>
      </w:r>
      <w:r>
        <w:rPr>
          <w:rFonts w:ascii="Times New Roman" w:cs="Times New Roman" w:eastAsia="Times New Roman" w:hAnsi="Times New Roman"/>
          <w:sz w:val="15"/>
          <w:szCs w:val="15"/>
          <w:color w:val="auto"/>
        </w:rPr>
        <w:t>Integrated service cost decreased by 3% from US$158.8 million for the nine months ended September 30, 2024 to US$154.3 million for the nine months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ended September 30, 2025. The decrease of integrated service costs was basically in line with the decrease of revenue in auto service revenue.</w:t>
      </w:r>
    </w:p>
    <w:p>
      <w:pPr>
        <w:spacing w:after="0" w:line="134"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i w:val="1"/>
          <w:iCs w:val="1"/>
          <w:color w:val="auto"/>
        </w:rPr>
        <w:t>Promotional service expenses</w:t>
      </w:r>
      <w:r>
        <w:rPr>
          <w:rFonts w:ascii="Times New Roman" w:cs="Times New Roman" w:eastAsia="Times New Roman" w:hAnsi="Times New Roman"/>
          <w:sz w:val="15"/>
          <w:szCs w:val="15"/>
          <w:color w:val="auto"/>
        </w:rPr>
        <w:t>. Promotional service expenses increased by 27% from US$113.8 million for the nine months ended September 30, 2024 to US$145.1 million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nine months ended September 30, 2025. The increase in promotional service expenses was in line with the increase of revenue in our auto eInsurance service.</w:t>
      </w:r>
    </w:p>
    <w:p>
      <w:pPr>
        <w:spacing w:after="0" w:line="134"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i w:val="1"/>
          <w:iCs w:val="1"/>
          <w:color w:val="auto"/>
        </w:rPr>
        <w:t>Selling expenses</w:t>
      </w:r>
      <w:r>
        <w:rPr>
          <w:rFonts w:ascii="Times New Roman" w:cs="Times New Roman" w:eastAsia="Times New Roman" w:hAnsi="Times New Roman"/>
          <w:sz w:val="15"/>
          <w:szCs w:val="15"/>
          <w:color w:val="auto"/>
        </w:rPr>
        <w:t>. Selling expenses decreased by 23% from US$20.7 million for the nine months ended September 30, 2024 to US$15.9 million for the nine months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September 30, 2025. The decrease was primarily due to our continued efforts to enhance the effectiveness of marketing activities by US$6.1 million, partially offset by an increase of US$1.1 million associated with our technology services offering to expand the business line.</w:t>
      </w:r>
    </w:p>
    <w:p>
      <w:pPr>
        <w:spacing w:after="0" w:line="145"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i w:val="1"/>
          <w:iCs w:val="1"/>
          <w:color w:val="auto"/>
        </w:rPr>
        <w:t xml:space="preserve">General and administrative expenses. </w:t>
      </w:r>
      <w:r>
        <w:rPr>
          <w:rFonts w:ascii="Times New Roman" w:cs="Times New Roman" w:eastAsia="Times New Roman" w:hAnsi="Times New Roman"/>
          <w:sz w:val="15"/>
          <w:szCs w:val="15"/>
          <w:color w:val="auto"/>
        </w:rPr>
        <w:t>General and administrative expenses decreased by 60% from US$44.1 million for the nine months ended September 30, 2024 to US$17.7</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million for the nine months ended September 30, 2025, primarily due to the decrease of US$31.0 million in share-based compensation expense related to </w:t>
      </w:r>
      <w:r>
        <w:rPr>
          <w:rFonts w:ascii="Times New Roman" w:cs="Times New Roman" w:eastAsia="Times New Roman" w:hAnsi="Times New Roman"/>
          <w:sz w:val="15"/>
          <w:szCs w:val="15"/>
          <w:i w:val="1"/>
          <w:iCs w:val="1"/>
          <w:color w:val="auto"/>
        </w:rPr>
        <w:t>2024 Equity Incentive Plan</w:t>
      </w:r>
      <w:r>
        <w:rPr>
          <w:rFonts w:ascii="Times New Roman" w:cs="Times New Roman" w:eastAsia="Times New Roman" w:hAnsi="Times New Roman"/>
          <w:sz w:val="15"/>
          <w:szCs w:val="15"/>
          <w:color w:val="auto"/>
        </w:rPr>
        <w:t>.</w:t>
      </w:r>
    </w:p>
    <w:p>
      <w:pPr>
        <w:spacing w:after="0" w:line="134"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i w:val="1"/>
          <w:iCs w:val="1"/>
          <w:color w:val="auto"/>
        </w:rPr>
        <w:t xml:space="preserve">Research and development expenses. </w:t>
      </w:r>
      <w:r>
        <w:rPr>
          <w:rFonts w:ascii="Times New Roman" w:cs="Times New Roman" w:eastAsia="Times New Roman" w:hAnsi="Times New Roman"/>
          <w:sz w:val="15"/>
          <w:szCs w:val="15"/>
          <w:color w:val="auto"/>
        </w:rPr>
        <w:t>Research and development expenses decreased by 90% from US$33.6 million for the nine months ended September 30, 2024 to US$3.4</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million for the nine months ended September 30, 2025, primarily due to decrease of US$31.0 million in relation to </w:t>
      </w:r>
      <w:r>
        <w:rPr>
          <w:rFonts w:ascii="Times New Roman" w:cs="Times New Roman" w:eastAsia="Times New Roman" w:hAnsi="Times New Roman"/>
          <w:sz w:val="15"/>
          <w:szCs w:val="15"/>
          <w:i w:val="1"/>
          <w:iCs w:val="1"/>
          <w:color w:val="auto"/>
        </w:rPr>
        <w:t>2024 Equity Incentive Plan</w:t>
      </w:r>
      <w:r>
        <w:rPr>
          <w:rFonts w:ascii="Times New Roman" w:cs="Times New Roman" w:eastAsia="Times New Roman" w:hAnsi="Times New Roman"/>
          <w:sz w:val="15"/>
          <w:szCs w:val="15"/>
          <w:color w:val="auto"/>
        </w:rPr>
        <w:t>.</w:t>
      </w:r>
    </w:p>
    <w:p>
      <w:pPr>
        <w:spacing w:after="0" w:line="134"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i w:val="1"/>
          <w:iCs w:val="1"/>
          <w:color w:val="auto"/>
        </w:rPr>
        <w:t xml:space="preserve">Net loss and Adjusted EBITDA. </w:t>
      </w:r>
      <w:r>
        <w:rPr>
          <w:rFonts w:ascii="Times New Roman" w:cs="Times New Roman" w:eastAsia="Times New Roman" w:hAnsi="Times New Roman"/>
          <w:sz w:val="15"/>
          <w:szCs w:val="15"/>
          <w:color w:val="auto"/>
        </w:rPr>
        <w:t>Net loss decreased by US$57.4 million, to US$4.1 million for the nine months ended September 30, 2025. Adjusted EBITDA decreased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US$0.7 million, to US$7.5 million for the nine months ended September 30, 2025. See our reconciliation of net loss to Adjusted EBITDA within the section titled “Non-GAAP Financial Measures”.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Non-GAAP Financial Measures</w:t>
      </w:r>
    </w:p>
    <w:p>
      <w:pPr>
        <w:spacing w:after="0" w:line="192" w:lineRule="exact"/>
        <w:rPr>
          <w:sz w:val="20"/>
          <w:szCs w:val="20"/>
          <w:color w:val="auto"/>
        </w:rPr>
      </w:pPr>
    </w:p>
    <w:p>
      <w:pPr>
        <w:jc w:val="both"/>
        <w:ind w:firstLine="541"/>
        <w:spacing w:after="0" w:line="254" w:lineRule="auto"/>
        <w:rPr>
          <w:sz w:val="20"/>
          <w:szCs w:val="20"/>
          <w:color w:val="auto"/>
        </w:rPr>
      </w:pPr>
      <w:r>
        <w:rPr>
          <w:rFonts w:ascii="Times New Roman" w:cs="Times New Roman" w:eastAsia="Times New Roman" w:hAnsi="Times New Roman"/>
          <w:sz w:val="15"/>
          <w:szCs w:val="15"/>
          <w:color w:val="auto"/>
        </w:rPr>
        <w:t>In addition to our results being determined in accordance with GAAP, the Company’s management believes that Adjusted EBITDA, which is a non-GAAP measure that excludes certain non-recurring items such as costs and expenses related to capital raises, is useful in evaluating our operational performance. The Company uses this non-GAAP financial information to evaluate our ongoing operations and for internal planning, budgeting and forecasting purposes. We believe that this non-GAAP financial information, when taken collectively with GAAP measures, may be helpful to investors in assessing our operating performance and comparing our performance with competitors and other comparable companies, which may or may not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This non-GAAP measure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i w:val="1"/>
          <w:iCs w:val="1"/>
          <w:color w:val="auto"/>
        </w:rPr>
        <w:t>Adjusted EBITDA</w:t>
      </w:r>
    </w:p>
    <w:p>
      <w:pPr>
        <w:spacing w:after="0" w:line="190"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We believe that Adjusted EBITDA, as defined below, is useful in evaluating our operational performance distinct and apart from certain expenses that may not be indicative of our recurring core business operating results and non-operational expenses. Adjusted EBITDA is defined as Net loss adjusted for depreciation and amortization, financial expenses, net, investment income, other non-recurring income, net, income tax benefit, share-based compensation and non-recurring expenses related to capital raises.</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Net loss margin is defined as net loss divided by total revenues, and Adjusted EBITDA Margin is defined as Adjusted EBITDA divided by total revenues.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reconciles net loss to Adjusted EBITDA for the nine months ended September 30, 2024 and 2025.</w:t>
      </w:r>
    </w:p>
    <w:p>
      <w:pPr>
        <w:spacing w:after="0" w:line="184"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5"/>
          <w:szCs w:val="15"/>
          <w:b w:val="1"/>
          <w:bCs w:val="1"/>
          <w:color w:val="auto"/>
        </w:rPr>
        <w:t>For the nine months ended</w:t>
      </w:r>
    </w:p>
    <w:p>
      <w:pPr>
        <w:spacing w:after="0" w:line="2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5"/>
          <w:szCs w:val="15"/>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5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(61,573)</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(4,126)</w:t>
            </w:r>
          </w:p>
        </w:tc>
        <w:tc>
          <w:tcPr>
            <w:tcW w:w="0" w:type="dxa"/>
            <w:vAlign w:val="bottom"/>
          </w:tcPr>
          <w:p>
            <w:pPr>
              <w:spacing w:after="0"/>
              <w:rPr>
                <w:sz w:val="1"/>
                <w:szCs w:val="1"/>
                <w:color w:val="auto"/>
              </w:rPr>
            </w:pPr>
          </w:p>
        </w:tc>
      </w:tr>
      <w:tr>
        <w:trPr>
          <w:trHeight w:val="180"/>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3,320</w:t>
            </w:r>
          </w:p>
        </w:tc>
        <w:tc>
          <w:tcPr>
            <w:tcW w:w="3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4,622</w:t>
            </w:r>
          </w:p>
        </w:tc>
        <w:tc>
          <w:tcPr>
            <w:tcW w:w="0" w:type="dxa"/>
            <w:vAlign w:val="bottom"/>
          </w:tcPr>
          <w:p>
            <w:pPr>
              <w:spacing w:after="0"/>
              <w:rPr>
                <w:sz w:val="1"/>
                <w:szCs w:val="1"/>
                <w:color w:val="auto"/>
              </w:rPr>
            </w:pPr>
          </w:p>
        </w:tc>
      </w:tr>
      <w:tr>
        <w:trPr>
          <w:trHeight w:val="18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Financial expenses, net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3,463</w:t>
            </w: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3,143</w:t>
            </w:r>
          </w:p>
        </w:tc>
        <w:tc>
          <w:tcPr>
            <w:tcW w:w="0" w:type="dxa"/>
            <w:vAlign w:val="bottom"/>
          </w:tcPr>
          <w:p>
            <w:pPr>
              <w:spacing w:after="0"/>
              <w:rPr>
                <w:sz w:val="1"/>
                <w:szCs w:val="1"/>
                <w:color w:val="auto"/>
              </w:rPr>
            </w:pPr>
          </w:p>
        </w:tc>
      </w:tr>
      <w:tr>
        <w:trPr>
          <w:trHeight w:val="180"/>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Investment income</w:t>
            </w:r>
          </w:p>
        </w:tc>
        <w:tc>
          <w:tcPr>
            <w:tcW w:w="2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(418)</w:t>
            </w:r>
          </w:p>
        </w:tc>
        <w:tc>
          <w:tcPr>
            <w:tcW w:w="36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(358)</w:t>
            </w:r>
          </w:p>
        </w:tc>
        <w:tc>
          <w:tcPr>
            <w:tcW w:w="0" w:type="dxa"/>
            <w:vAlign w:val="bottom"/>
          </w:tcPr>
          <w:p>
            <w:pPr>
              <w:spacing w:after="0"/>
              <w:rPr>
                <w:sz w:val="1"/>
                <w:szCs w:val="1"/>
                <w:color w:val="auto"/>
              </w:rPr>
            </w:pPr>
          </w:p>
        </w:tc>
      </w:tr>
      <w:tr>
        <w:trPr>
          <w:trHeight w:val="18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non-recurring (income)/loss, net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(769)</w:t>
            </w: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2,208</w:t>
            </w:r>
          </w:p>
        </w:tc>
        <w:tc>
          <w:tcPr>
            <w:tcW w:w="0" w:type="dxa"/>
            <w:vAlign w:val="bottom"/>
          </w:tcPr>
          <w:p>
            <w:pPr>
              <w:spacing w:after="0"/>
              <w:rPr>
                <w:sz w:val="1"/>
                <w:szCs w:val="1"/>
                <w:color w:val="auto"/>
              </w:rPr>
            </w:pPr>
          </w:p>
        </w:tc>
      </w:tr>
      <w:tr>
        <w:trPr>
          <w:trHeight w:val="180"/>
        </w:trPr>
        <w:tc>
          <w:tcPr>
            <w:tcW w:w="858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w:t>
            </w:r>
          </w:p>
        </w:tc>
        <w:tc>
          <w:tcPr>
            <w:tcW w:w="22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931</w:t>
            </w:r>
          </w:p>
        </w:tc>
        <w:tc>
          <w:tcPr>
            <w:tcW w:w="36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840</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Share-based compensation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63,161</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1,117</w:t>
            </w:r>
          </w:p>
        </w:tc>
        <w:tc>
          <w:tcPr>
            <w:tcW w:w="0" w:type="dxa"/>
            <w:vAlign w:val="bottom"/>
          </w:tcPr>
          <w:p>
            <w:pPr>
              <w:spacing w:after="0"/>
              <w:rPr>
                <w:sz w:val="1"/>
                <w:szCs w:val="1"/>
                <w:color w:val="auto"/>
              </w:rPr>
            </w:pPr>
          </w:p>
        </w:tc>
      </w:tr>
      <w:tr>
        <w:trPr>
          <w:trHeight w:val="225"/>
        </w:trPr>
        <w:tc>
          <w:tcPr>
            <w:tcW w:w="8580" w:type="dxa"/>
            <w:vAlign w:val="bottom"/>
          </w:tcPr>
          <w:p>
            <w:pPr>
              <w:spacing w:after="0" w:line="226" w:lineRule="exact"/>
              <w:rPr>
                <w:sz w:val="20"/>
                <w:szCs w:val="20"/>
                <w:color w:val="auto"/>
              </w:rPr>
            </w:pPr>
            <w:r>
              <w:rPr>
                <w:rFonts w:ascii="Times New Roman" w:cs="Times New Roman" w:eastAsia="Times New Roman" w:hAnsi="Times New Roman"/>
                <w:sz w:val="15"/>
                <w:szCs w:val="15"/>
                <w:color w:val="auto"/>
              </w:rPr>
              <w:t xml:space="preserve">Transaction fees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79</w:t>
            </w:r>
          </w:p>
        </w:tc>
        <w:tc>
          <w:tcPr>
            <w:tcW w:w="3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3"/>
        </w:trPr>
        <w:tc>
          <w:tcPr>
            <w:tcW w:w="8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5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8,194</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7,461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loss Margin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5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-19.7%</w:t>
            </w:r>
          </w:p>
        </w:tc>
        <w:tc>
          <w:tcPr>
            <w:tcW w:w="3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-1.2%</w:t>
            </w:r>
          </w:p>
        </w:tc>
        <w:tc>
          <w:tcPr>
            <w:tcW w:w="0" w:type="dxa"/>
            <w:vAlign w:val="bottom"/>
          </w:tcPr>
          <w:p>
            <w:pPr>
              <w:spacing w:after="0"/>
              <w:rPr>
                <w:sz w:val="1"/>
                <w:szCs w:val="1"/>
                <w:color w:val="auto"/>
              </w:rPr>
            </w:pPr>
          </w:p>
        </w:tc>
      </w:tr>
      <w:tr>
        <w:trPr>
          <w:trHeight w:val="18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Adjusted EBITDA Margin</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2.6%</w:t>
            </w: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00" w:hanging="287"/>
        <w:spacing w:after="0"/>
        <w:tabs>
          <w:tab w:leader="none" w:pos="3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Non-cash expense related to compensation costs for equity classified awards by the subsidiary.</w:t>
      </w:r>
    </w:p>
    <w:p>
      <w:pPr>
        <w:spacing w:after="0" w:line="233" w:lineRule="exact"/>
        <w:rPr>
          <w:rFonts w:ascii="Times New Roman" w:cs="Times New Roman" w:eastAsia="Times New Roman" w:hAnsi="Times New Roman"/>
          <w:sz w:val="15"/>
          <w:szCs w:val="15"/>
          <w:color w:val="auto"/>
        </w:rPr>
      </w:pPr>
    </w:p>
    <w:p>
      <w:pPr>
        <w:ind w:left="300" w:hanging="287"/>
        <w:spacing w:after="0"/>
        <w:tabs>
          <w:tab w:leader="none" w:pos="3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non-recurring transaction related fees and expenses associated with the Company’s capital raises.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Cayman Islands</w:t>
      </w:r>
    </w:p>
    <w:p>
      <w:pPr>
        <w:spacing w:after="0" w:line="190" w:lineRule="exact"/>
        <w:rPr>
          <w:sz w:val="20"/>
          <w:szCs w:val="20"/>
          <w:color w:val="auto"/>
        </w:rPr>
      </w:pPr>
    </w:p>
    <w:p>
      <w:pPr>
        <w:ind w:right="20" w:firstLine="541"/>
        <w:spacing w:after="0" w:line="280" w:lineRule="auto"/>
        <w:rPr>
          <w:sz w:val="20"/>
          <w:szCs w:val="20"/>
          <w:color w:val="auto"/>
        </w:rPr>
      </w:pPr>
      <w:r>
        <w:rPr>
          <w:rFonts w:ascii="Times New Roman" w:cs="Times New Roman" w:eastAsia="Times New Roman" w:hAnsi="Times New Roman"/>
          <w:sz w:val="15"/>
          <w:szCs w:val="15"/>
          <w:color w:val="auto"/>
        </w:rPr>
        <w:t>Under the current laws of the Cayman Islands, we are not subject to tax on income or capital gain. Additionally, upon payments of dividends to the shareholders, no Cayman Islands withholding tax will be imposed.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British Virgin Islands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subsidiaries incorporated in the BVI are not subject to taxation in the British Virgin Islands.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i w:val="1"/>
          <w:iCs w:val="1"/>
          <w:color w:val="auto"/>
        </w:rPr>
        <w:t>Hong Kong</w:t>
      </w:r>
    </w:p>
    <w:p>
      <w:pPr>
        <w:spacing w:after="0" w:line="190"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According to Tax (Amendment) (No. 3) Ordinance 2018 published by Hong Kong government, from April 1, 2018, under the two-tiered profits tax rates regime, the profits tax rate for the first HKD2 million of assessable profits will be lowered to 8.25% (half of the rate specified in Schedule 8 to the Inland Revenue Ordinance (IRO)) for corporations, and the remaining profits will continue to be taxed at the existing tax rate, 16.5%. No provision for Hong Kong profits tax had been made to China Auto Market Group Ltd., a subsidiary of us, during the nine months ended September 30, 2024 and 2025 as it did not have assessable profit during the periods presented.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PRC</w:t>
      </w:r>
    </w:p>
    <w:p>
      <w:pPr>
        <w:spacing w:after="0" w:line="190" w:lineRule="exact"/>
        <w:rPr>
          <w:sz w:val="20"/>
          <w:szCs w:val="20"/>
          <w:color w:val="auto"/>
        </w:rPr>
      </w:pPr>
    </w:p>
    <w:p>
      <w:pPr>
        <w:jc w:val="both"/>
        <w:ind w:right="20" w:firstLine="541"/>
        <w:spacing w:after="0" w:line="280" w:lineRule="auto"/>
        <w:rPr>
          <w:sz w:val="20"/>
          <w:szCs w:val="20"/>
          <w:color w:val="auto"/>
        </w:rPr>
      </w:pPr>
      <w:r>
        <w:rPr>
          <w:rFonts w:ascii="Times New Roman" w:cs="Times New Roman" w:eastAsia="Times New Roman" w:hAnsi="Times New Roman"/>
          <w:sz w:val="15"/>
          <w:szCs w:val="15"/>
          <w:color w:val="auto"/>
        </w:rPr>
        <w:t>Generally, our subsidiaries, which are considered PRC resident enterprises under PRC tax law, are subject to enterprise income tax on their worldwide taxable income as determined under PRC tax laws and accounting standards at a rate of 25%.</w:t>
      </w:r>
    </w:p>
    <w:p>
      <w:pPr>
        <w:spacing w:after="0" w:line="138" w:lineRule="exact"/>
        <w:rPr>
          <w:sz w:val="20"/>
          <w:szCs w:val="20"/>
          <w:color w:val="auto"/>
        </w:rPr>
      </w:pPr>
    </w:p>
    <w:p>
      <w:pPr>
        <w:jc w:val="both"/>
        <w:ind w:firstLine="541"/>
        <w:spacing w:after="0" w:line="258" w:lineRule="auto"/>
        <w:rPr>
          <w:sz w:val="20"/>
          <w:szCs w:val="20"/>
          <w:color w:val="auto"/>
        </w:rPr>
      </w:pPr>
      <w:r>
        <w:rPr>
          <w:rFonts w:ascii="Times New Roman" w:cs="Times New Roman" w:eastAsia="Times New Roman" w:hAnsi="Times New Roman"/>
          <w:sz w:val="15"/>
          <w:szCs w:val="15"/>
          <w:color w:val="auto"/>
        </w:rPr>
        <w:t>According to Taxation [2022] No. 13 which was effective from January 1, 2022 to December 31, 2024, a small-scale and low-profit enterprise receives a tax preference including a preferential tax rate of 5% on its taxable income between RMB1 million and RMB3 million. According to Taxation [2023] No. 06 which was effective from January 1, 2023 to December 31, 2024, a small-scale and low-profit enterprise receives a tax preference including a preferential tax rate of 5% on its taxable income below RMB1 million. According to Taxation [2023] No. 12 which was effective from January 1, 2023 to December 31, 2027, a small-scale and low-profit enterprise receives a tax preference including a preferential tax rate of 5% on its taxable income below RMB1 million.</w:t>
      </w:r>
    </w:p>
    <w:p>
      <w:pPr>
        <w:spacing w:after="0" w:line="155"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High and new technology enterprises enjoy a preferential tax rate of 15% under PRC tax law. Shanghai Chengle Network Technology Co., Limited, one of our subsidiaries, currently qualifies as a “new high-tech enterprise”, and has been entitled to the preferential rate of 15% since 2018, and successfully renewed the qualification twice, in December 2021 and December 2024, respectively, each renewal would be effective for 3 years. Shengda Automobile, one of our key subsidiaries, qualifies as a “new high-tech enterprise” and has been entitled to a preferential tax rate of 15% since 2018, and successfully renewed the qualification in December 2021 and December 2024, which would be effective for 3 years.</w:t>
      </w:r>
    </w:p>
    <w:p>
      <w:pPr>
        <w:spacing w:after="0" w:line="154"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Dividends paid by its wholly foreign-owned subsidiaries in China to its intermediary holding companies in Hong Kong will be subject to a withholding tax rate of 10%, unless they qualify for a special exemption. If its intermediary holding companies in Hong Kong satisfy all the requirements under the Arrangement between Mainland China and the Hong Kong Special Administrative Region for the Avoidance of Double Taxation and Tax Evasion on Income and receive approval from the relevant tax authority, then dividends paid to them by its wholly foreign-owned subsidiaries in China will be subject to a withholding tax rate of 5% instead.</w:t>
      </w:r>
    </w:p>
    <w:p>
      <w:pPr>
        <w:spacing w:after="0" w:line="154"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If our holding company in the Cayman Islands or any of its subsidiaries outside of China were deemed to be a “resident enterprise” under the Enterprise Income Tax Law, it would be subject to enterprise income tax on its worldwide income at a rate of 25%.</w:t>
      </w:r>
    </w:p>
    <w:p>
      <w:pPr>
        <w:sectPr>
          <w:pgSz w:w="11900" w:h="16838" w:orient="portrait"/>
          <w:cols w:equalWidth="0" w:num="1">
            <w:col w:w="11260"/>
          </w:cols>
          <w:pgMar w:left="320" w:top="303" w:right="319" w:bottom="1440" w:gutter="0" w:footer="0" w:header="0"/>
        </w:sectPr>
      </w:pP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715518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180" cy="12890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cash used in investing activities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715518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180" cy="1289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Effect of exchange rate changes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7155180" cy="164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180" cy="164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For the nine months ended September</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157416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74165" cy="14605"/>
                    </a:xfrm>
                    <a:prstGeom prst="rect">
                      <a:avLst/>
                    </a:prstGeom>
                    <a:noFill/>
                  </pic:spPr>
                </pic:pic>
              </a:graphicData>
            </a:graphic>
          </wp:anchor>
        </w:drawing>
      </w:r>
    </w:p>
    <w:p>
      <w:pPr>
        <w:spacing w:after="0" w:line="4" w:lineRule="exact"/>
        <w:rPr>
          <w:sz w:val="20"/>
          <w:szCs w:val="20"/>
          <w:color w:val="auto"/>
        </w:rPr>
      </w:pPr>
    </w:p>
    <w:p>
      <w:pPr>
        <w:ind w:left="420"/>
        <w:spacing w:after="0"/>
        <w:tabs>
          <w:tab w:leader="none" w:pos="176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157416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74165" cy="14605"/>
                    </a:xfrm>
                    <a:prstGeom prst="rect">
                      <a:avLst/>
                    </a:prstGeom>
                    <a:noFill/>
                  </pic:spPr>
                </pic:pic>
              </a:graphicData>
            </a:graphic>
          </wp:anchor>
        </w:drawing>
      </w:r>
    </w:p>
    <w:p>
      <w:pPr>
        <w:spacing w:after="0" w:line="1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1,182</w:t>
            </w:r>
          </w:p>
        </w:tc>
        <w:tc>
          <w:tcPr>
            <w:tcW w:w="38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(11,072)</w:t>
            </w:r>
          </w:p>
        </w:tc>
      </w:tr>
      <w:tr>
        <w:trPr>
          <w:trHeight w:val="194"/>
        </w:trPr>
        <w:tc>
          <w:tcPr>
            <w:tcW w:w="38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(9,792)</w:t>
            </w:r>
          </w:p>
        </w:tc>
        <w:tc>
          <w:tcPr>
            <w:tcW w:w="3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(9,013)</w:t>
            </w:r>
          </w:p>
        </w:tc>
      </w:tr>
      <w:tr>
        <w:trPr>
          <w:trHeight w:val="201"/>
        </w:trPr>
        <w:tc>
          <w:tcPr>
            <w:tcW w:w="3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(2,325)</w:t>
            </w:r>
          </w:p>
        </w:tc>
        <w:tc>
          <w:tcPr>
            <w:tcW w:w="3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16,273</w:t>
            </w:r>
          </w:p>
        </w:tc>
      </w:tr>
      <w:tr>
        <w:trPr>
          <w:trHeight w:val="197"/>
        </w:trPr>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60" w:type="dxa"/>
            <w:vAlign w:val="bottom"/>
          </w:tcPr>
          <w:p>
            <w:pPr>
              <w:spacing w:after="0"/>
              <w:rPr>
                <w:sz w:val="17"/>
                <w:szCs w:val="17"/>
                <w:color w:val="auto"/>
              </w:rPr>
            </w:pPr>
          </w:p>
        </w:tc>
      </w:tr>
      <w:tr>
        <w:trPr>
          <w:trHeight w:val="228"/>
        </w:trPr>
        <w:tc>
          <w:tcPr>
            <w:tcW w:w="38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(10,606)</w:t>
            </w:r>
          </w:p>
        </w:tc>
        <w:tc>
          <w:tcPr>
            <w:tcW w:w="380" w:type="dxa"/>
            <w:vAlign w:val="bottom"/>
          </w:tcPr>
          <w:p>
            <w:pPr>
              <w:jc w:val="right"/>
              <w:ind w:right="225"/>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(3,019)</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7940" w:space="720"/>
            <w:col w:w="2600"/>
          </w:cols>
          <w:pgMar w:left="320" w:top="303" w:right="319" w:bottom="1440" w:gutter="0" w:footer="0" w:header="0"/>
          <w:type w:val="continuous"/>
        </w:sect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Our principal sources of liquidity have been cash provided from bank borrowings and revenue generated from business operations. As of September 30, 2025, we had US$23.7 million in cash, and US$2.8 million restricted cash, of which US$22.6 million in cash and US$2.8 million in restricted cash were denominated in Renminbi held at banks located in China, US$1.1 million in cash was denominated in US dollar and HK dollar held at banks located in United States and Hong Kong.</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type w:val="continuous"/>
        </w:sectPr>
      </w:pPr>
    </w:p>
    <w:bookmarkStart w:id="41" w:name="page42"/>
    <w:bookmarkEnd w:id="41"/>
    <w:p>
      <w:pPr>
        <w:jc w:val="both"/>
        <w:ind w:firstLine="541"/>
        <w:spacing w:after="0" w:line="256" w:lineRule="auto"/>
        <w:rPr>
          <w:sz w:val="20"/>
          <w:szCs w:val="20"/>
          <w:color w:val="auto"/>
        </w:rPr>
      </w:pPr>
      <w:r>
        <w:rPr>
          <w:rFonts w:ascii="Times New Roman" w:cs="Times New Roman" w:eastAsia="Times New Roman" w:hAnsi="Times New Roman"/>
          <w:sz w:val="15"/>
          <w:szCs w:val="15"/>
          <w:color w:val="auto"/>
        </w:rPr>
        <w:t>We believe that our current cash on hand, short-term investments, and cash provided by equity securities, which is classified as a financing activity, will be sufficient to meet the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expenditures, or similar actions. If we determine that the cash requirements exceed the amount of cash on hand, we may seek to issue equity or equity-linked securities or obtain debt financing. The issuance and sale of additional equity would result in further dilution to the shareholders. The incurrence of indebtedness would result in increased fixed obligations and could result in operating covenants that would restrict our operations.</w:t>
      </w:r>
    </w:p>
    <w:p>
      <w:pPr>
        <w:spacing w:after="0" w:line="158" w:lineRule="exact"/>
        <w:rPr>
          <w:sz w:val="20"/>
          <w:szCs w:val="20"/>
          <w:color w:val="auto"/>
        </w:rPr>
      </w:pPr>
    </w:p>
    <w:p>
      <w:pPr>
        <w:jc w:val="both"/>
        <w:ind w:firstLine="541"/>
        <w:spacing w:after="0" w:line="256" w:lineRule="auto"/>
        <w:rPr>
          <w:sz w:val="20"/>
          <w:szCs w:val="20"/>
          <w:color w:val="auto"/>
        </w:rPr>
      </w:pPr>
      <w:r>
        <w:rPr>
          <w:rFonts w:ascii="Times New Roman" w:cs="Times New Roman" w:eastAsia="Times New Roman" w:hAnsi="Times New Roman"/>
          <w:sz w:val="15"/>
          <w:szCs w:val="15"/>
          <w:color w:val="auto"/>
        </w:rPr>
        <w:t>We expect that substantially all of our future revenues will be denominated in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Operating Activities</w:t>
      </w:r>
    </w:p>
    <w:p>
      <w:pPr>
        <w:spacing w:after="0" w:line="190" w:lineRule="exact"/>
        <w:rPr>
          <w:sz w:val="20"/>
          <w:szCs w:val="20"/>
          <w:color w:val="auto"/>
        </w:rPr>
      </w:pPr>
    </w:p>
    <w:p>
      <w:pPr>
        <w:jc w:val="both"/>
        <w:ind w:firstLine="541"/>
        <w:spacing w:after="0" w:line="258" w:lineRule="auto"/>
        <w:rPr>
          <w:sz w:val="20"/>
          <w:szCs w:val="20"/>
          <w:color w:val="auto"/>
        </w:rPr>
      </w:pPr>
      <w:r>
        <w:rPr>
          <w:rFonts w:ascii="Times New Roman" w:cs="Times New Roman" w:eastAsia="Times New Roman" w:hAnsi="Times New Roman"/>
          <w:sz w:val="15"/>
          <w:szCs w:val="15"/>
          <w:color w:val="auto"/>
        </w:rPr>
        <w:t>Net cash used in operating activities for the nine months ended September 30, 2025 was US$11.0 million, as compared to net loss of US$4.1 million. The difference between net loss and net cash used in operating activities was primarily attributable to (i) a non-cash adjustment of provision for credit losses of US$5.1 million, depreciation and amortization of US$4.6 million, accrued liability of GEM litigation of US$2.8 million, and share-based compensation of subsidiary of US$1.1 million, (ii) an increase of prepaid expenses and other current assets of US$24.8 million due to the increase of advances to suppliers for the expansion of business, (iii) an increase of accounts receivable of US$3.0 million due to the increase of revenue, and partially offset by an increase of accounts payable of US$7.6 million primarily due to the growth of our eInsurance and technology service business.</w:t>
      </w:r>
    </w:p>
    <w:p>
      <w:pPr>
        <w:spacing w:after="0" w:line="155" w:lineRule="exact"/>
        <w:rPr>
          <w:sz w:val="20"/>
          <w:szCs w:val="20"/>
          <w:color w:val="auto"/>
        </w:rPr>
      </w:pPr>
    </w:p>
    <w:p>
      <w:pPr>
        <w:jc w:val="both"/>
        <w:ind w:firstLine="597"/>
        <w:spacing w:after="0" w:line="260" w:lineRule="auto"/>
        <w:rPr>
          <w:sz w:val="20"/>
          <w:szCs w:val="20"/>
          <w:color w:val="auto"/>
        </w:rPr>
      </w:pPr>
      <w:r>
        <w:rPr>
          <w:rFonts w:ascii="Times New Roman" w:cs="Times New Roman" w:eastAsia="Times New Roman" w:hAnsi="Times New Roman"/>
          <w:sz w:val="15"/>
          <w:szCs w:val="15"/>
          <w:color w:val="auto"/>
        </w:rPr>
        <w:t>Net cash provided by operating activities for the nine months ended September 30, 2024 was US$1.2 million, as compared to net loss of US$61.6 million. The difference between net loss and net cash used in operating activities was primarily attributable to (i) an increase of accounts receivable of US$22.3 million due to the increase of sales, (ii) an increase of prepaid expenses and other current assets of US$10.1 million due to the increase of advances to suppliers for the expansion of business, offset by (i) a non-cash adjustment of share-based compensation of US$63.2 million, an increase of accounts payable of US$27.3 million, primarily due to the growth of our auto service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Investing Activities</w:t>
      </w:r>
    </w:p>
    <w:p>
      <w:pPr>
        <w:spacing w:after="0" w:line="190"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Net cash used in investing activities for the nine months ended September 30, 2025 was US$9.0 million, primarily consisting of US$6.4 million in non-current assets purchase related to the development of cloud infrastructure and US$2.2 million in the acquisition of non-controlling interests.</w:t>
      </w:r>
    </w:p>
    <w:p>
      <w:pPr>
        <w:spacing w:after="0" w:line="138" w:lineRule="exact"/>
        <w:rPr>
          <w:sz w:val="20"/>
          <w:szCs w:val="20"/>
          <w:color w:val="auto"/>
        </w:rPr>
      </w:pPr>
    </w:p>
    <w:p>
      <w:pPr>
        <w:jc w:val="both"/>
        <w:ind w:right="20" w:firstLine="585"/>
        <w:spacing w:after="0" w:line="265" w:lineRule="auto"/>
        <w:rPr>
          <w:sz w:val="20"/>
          <w:szCs w:val="20"/>
          <w:color w:val="auto"/>
        </w:rPr>
      </w:pPr>
      <w:r>
        <w:rPr>
          <w:rFonts w:ascii="Times New Roman" w:cs="Times New Roman" w:eastAsia="Times New Roman" w:hAnsi="Times New Roman"/>
          <w:sz w:val="15"/>
          <w:szCs w:val="15"/>
          <w:color w:val="auto"/>
        </w:rPr>
        <w:t>Net cash used in investing activities for the nine months ended September 30, 2024 was US$9.8 million, primarily consisting of US$9.3 million in non-current assets purchase related to the development of cloud infrastructure, and purchase of short-term investment of US$21.3 million, and offset by the proceeds from sale of short-term investment of US$21.3 million.</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i w:val="1"/>
          <w:iCs w:val="1"/>
          <w:color w:val="auto"/>
        </w:rPr>
        <w:t>Financing Activities</w:t>
      </w:r>
    </w:p>
    <w:p>
      <w:pPr>
        <w:spacing w:after="0" w:line="190"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Net cash provided by financing activities for the nine months ended September 30, 2025 was US$16.3 million, consisting primarily of proceeds of short-term bank borrowings of US$86.6 million and proceeds from issuance of ordinary shares, net of issuance cost of US$41.6 million, and offset by repayments of from short-term bank borrowings of US$84.8 million, repurchase of shares of US$15.8 million and repayments of payables to a related party of US$11.4 million.</w:t>
      </w:r>
    </w:p>
    <w:p>
      <w:pPr>
        <w:spacing w:after="0" w:line="150"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In February 2025, our Board of Directors authorized the $30 million share repurchase program, a measure aligned with the Company’s long-term growth strategy and its commitment to enhancing shareholder value. In the first three quarters of 2025, we repurchased 3,438,557 shares at an average price of $4.58 per share for a total of $15.8 million. We believe these repurchases represent an attractive use of capital given our strong growth profile and improving operational metrics.</w:t>
      </w:r>
    </w:p>
    <w:p>
      <w:pPr>
        <w:spacing w:after="0" w:line="150"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Net cash used in financing activities for the nine months ended September 30, 2024 was US$2.3 million, consisting primarily of US$79.9 million from short-term bank borrowings, and offset by repayments of short-term bank borrowings of US$80.6 million and repayments to related parties of US$1.7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Capital Expenditures</w:t>
      </w:r>
    </w:p>
    <w:p>
      <w:pPr>
        <w:spacing w:after="0" w:line="192"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Our capital expenditures are primarily incurred for the purchase of software and equipment, and the development of our Cloud Platform. Our capital expenditures were US$9.9 million and US$6.7 million, for the nine months ended September 30, 2024 and 2025, respectively. We intend to fund our future capital expenditures with our existing cash balance and bank borrowings. We will continue to incur capital expenditures as needed to meet the expected growth of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Off-Balance Sheet Commitments and Arrangements</w:t>
      </w:r>
    </w:p>
    <w:p>
      <w:pPr>
        <w:spacing w:after="0" w:line="192"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We have not entered into any financial guarantees or other commitments to guarantee the payment obligations of any third parties. In addition, we have not entered into any derivative contracts that are indexed to its shares and classified as shareholder’s equity or that are not reflected in its unaudited condensed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it or engages in leasing, hedging or product development services with it.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Tabular Disclosure of Contractual Obligations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sets forth our contractual obligations as of September 30, 2025.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7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Payment Due by Period</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47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Within one year</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2-5 years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6"/>
                <w:szCs w:val="16"/>
                <w:color w:val="auto"/>
              </w:rPr>
            </w:pPr>
          </w:p>
        </w:tc>
      </w:tr>
      <w:tr>
        <w:trPr>
          <w:trHeight w:val="18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Lease liabilities obligation</w:t>
            </w:r>
          </w:p>
        </w:tc>
        <w:tc>
          <w:tcPr>
            <w:tcW w:w="26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c>
          <w:tcPr>
            <w:tcW w:w="120" w:type="dxa"/>
            <w:vAlign w:val="bottom"/>
            <w:tcBorders>
              <w:top w:val="single" w:sz="8" w:color="CCEEFF"/>
            </w:tcBorders>
            <w:shd w:val="clear" w:color="auto" w:fill="CCEEFF"/>
          </w:tcPr>
          <w:p>
            <w:pPr>
              <w:spacing w:after="0"/>
              <w:rPr>
                <w:sz w:val="15"/>
                <w:szCs w:val="15"/>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Lease payment of property management fee and short-term lease</w:t>
            </w:r>
          </w:p>
        </w:tc>
        <w:tc>
          <w:tcPr>
            <w:tcW w:w="2980" w:type="dxa"/>
            <w:vAlign w:val="bottom"/>
            <w:gridSpan w:val="2"/>
          </w:tcPr>
          <w:p>
            <w:pPr>
              <w:jc w:val="right"/>
              <w:ind w:right="25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81</w:t>
            </w:r>
          </w:p>
        </w:tc>
        <w:tc>
          <w:tcPr>
            <w:tcW w:w="3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26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81</w:t>
            </w: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Capital payment</w:t>
            </w:r>
          </w:p>
        </w:tc>
        <w:tc>
          <w:tcPr>
            <w:tcW w:w="298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17,960</w:t>
            </w:r>
          </w:p>
        </w:tc>
        <w:tc>
          <w:tcPr>
            <w:tcW w:w="38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17,559</w:t>
            </w:r>
          </w:p>
        </w:tc>
        <w:tc>
          <w:tcPr>
            <w:tcW w:w="26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35,519</w:t>
            </w:r>
          </w:p>
        </w:tc>
      </w:tr>
      <w:tr>
        <w:trPr>
          <w:trHeight w:val="194"/>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Short-term borrowings</w:t>
            </w:r>
          </w:p>
        </w:tc>
        <w:tc>
          <w:tcPr>
            <w:tcW w:w="2980" w:type="dxa"/>
            <w:vAlign w:val="bottom"/>
            <w:gridSpan w:val="2"/>
          </w:tcPr>
          <w:p>
            <w:pPr>
              <w:jc w:val="right"/>
              <w:ind w:right="25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87,540</w:t>
            </w:r>
          </w:p>
        </w:tc>
        <w:tc>
          <w:tcPr>
            <w:tcW w:w="380" w:type="dxa"/>
            <w:vAlign w:val="bottom"/>
            <w:gridSpan w:val="2"/>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26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87,540</w:t>
            </w:r>
          </w:p>
        </w:tc>
      </w:tr>
      <w:tr>
        <w:trPr>
          <w:trHeight w:val="530"/>
        </w:trPr>
        <w:tc>
          <w:tcPr>
            <w:tcW w:w="47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545"/>
              <w:spacing w:after="0"/>
              <w:rPr>
                <w:sz w:val="20"/>
                <w:szCs w:val="20"/>
                <w:color w:val="auto"/>
              </w:rPr>
            </w:pPr>
            <w:r>
              <w:rPr>
                <w:rFonts w:ascii="Times New Roman" w:cs="Times New Roman" w:eastAsia="Times New Roman" w:hAnsi="Times New Roman"/>
                <w:sz w:val="15"/>
                <w:szCs w:val="15"/>
                <w:color w:val="auto"/>
              </w:rPr>
              <w:t>12</w:t>
            </w: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3" w:right="319" w:bottom="1440" w:gutter="0" w:footer="0" w:header="0"/>
        </w:sectPr>
      </w:pPr>
    </w:p>
    <w:bookmarkStart w:id="43" w:name="page44"/>
    <w:bookmarkEnd w:id="43"/>
    <w:p>
      <w:pPr>
        <w:jc w:val="both"/>
        <w:ind w:right="20" w:firstLine="541"/>
        <w:spacing w:after="0" w:line="280" w:lineRule="auto"/>
        <w:rPr>
          <w:sz w:val="20"/>
          <w:szCs w:val="20"/>
          <w:color w:val="auto"/>
        </w:rPr>
      </w:pPr>
      <w:r>
        <w:rPr>
          <w:rFonts w:ascii="Times New Roman" w:cs="Times New Roman" w:eastAsia="Times New Roman" w:hAnsi="Times New Roman"/>
          <w:sz w:val="15"/>
          <w:szCs w:val="15"/>
          <w:color w:val="auto"/>
        </w:rPr>
        <w:t>We recorded rental expenses of US$0.7 million and US$0.7 million for the nine months ended September 30, 2024 and 2025, respectively. Other than what is disclosed above, we did not have other significant commitments, long-term obligations, or guarantees as of September 30, 2025.</w:t>
      </w:r>
    </w:p>
    <w:p>
      <w:pPr>
        <w:spacing w:after="0" w:line="138" w:lineRule="exact"/>
        <w:rPr>
          <w:sz w:val="20"/>
          <w:szCs w:val="20"/>
          <w:color w:val="auto"/>
        </w:rPr>
      </w:pPr>
    </w:p>
    <w:p>
      <w:pPr>
        <w:jc w:val="both"/>
        <w:ind w:right="20" w:firstLine="541"/>
        <w:spacing w:after="0" w:line="265" w:lineRule="auto"/>
        <w:rPr>
          <w:sz w:val="20"/>
          <w:szCs w:val="20"/>
          <w:color w:val="auto"/>
        </w:rPr>
      </w:pPr>
      <w:r>
        <w:rPr>
          <w:rFonts w:ascii="Times New Roman" w:cs="Times New Roman" w:eastAsia="Times New Roman" w:hAnsi="Times New Roman"/>
          <w:sz w:val="15"/>
          <w:szCs w:val="15"/>
          <w:color w:val="auto"/>
        </w:rPr>
        <w:t>We also have certain capital commitments that are primarily related to commitments for the purchase and installation of a private cloud system and an artificial intelligence platform. Total capital commitments contracted but not yet reflected in the unaudited condensed consolidated financial statement was US$35.5 million as of September 30, 2025. All of the capital commitments will be fulfilled according to the investment payment schedule.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 Party Transaction</w:t>
      </w:r>
    </w:p>
    <w:p>
      <w:pPr>
        <w:spacing w:after="0" w:line="192"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Shengda Automobile Service Group Co., Limited and its subsidiaries (“Shengda Group”) was disposed on March 1, 2022, such disposition has been completed as of that date. In addition, we were liable to Shengda Group of RMB281.8 million (US$40.9 million) for the transfer of SUNCAR Online as of December 31, 2022. Additionally, we were liable to Shengda Group of $4.7 million for the ordinary course of operation, which was interest-free, unsecured, and could be settled on demand. In the share purchase agreement dated March 1, 2022, we agreed to repay the debt owed to Shengda Group by full before June 1, 2023.</w:t>
      </w:r>
    </w:p>
    <w:p>
      <w:pPr>
        <w:spacing w:after="0" w:line="154"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In 2023, we repaid the debt owed to Shengda Group of US$10 million. In April 2023, we negotiated with Jiachen Information Technology (Shanghai) Co., Ltd. (“Jiachen”) and consented to have an extension of payment to extend the repayment due date to December 31, 2025, with an annual interest rate of 1% from June 30, 2023 to the completion of the repayment.</w:t>
      </w:r>
    </w:p>
    <w:p>
      <w:pPr>
        <w:spacing w:after="0" w:line="150" w:lineRule="exact"/>
        <w:rPr>
          <w:sz w:val="20"/>
          <w:szCs w:val="20"/>
          <w:color w:val="auto"/>
        </w:rPr>
      </w:pPr>
    </w:p>
    <w:p>
      <w:pPr>
        <w:jc w:val="both"/>
        <w:ind w:right="20" w:firstLine="541"/>
        <w:spacing w:after="0" w:line="280" w:lineRule="auto"/>
        <w:rPr>
          <w:sz w:val="20"/>
          <w:szCs w:val="20"/>
          <w:color w:val="auto"/>
        </w:rPr>
      </w:pPr>
      <w:r>
        <w:rPr>
          <w:rFonts w:ascii="Times New Roman" w:cs="Times New Roman" w:eastAsia="Times New Roman" w:hAnsi="Times New Roman"/>
          <w:sz w:val="15"/>
          <w:szCs w:val="15"/>
          <w:color w:val="auto"/>
        </w:rPr>
        <w:t>In the first half of 2024, we repaid the debt owed to Shengda Group through transfer of shares of SunCar Online at an aggregate amount of US$6.2 million. The non-cash gains from the difference of repurchase price and transfer price of US$4.5 million were charged to additional-paid-in capital.</w:t>
      </w:r>
    </w:p>
    <w:p>
      <w:pPr>
        <w:spacing w:after="0" w:line="138"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In the first three quarters of 2025, we repaid the debt owed to Shengda Group of $11.4 million through entering into debt offset agreement with a third party. In January 2025, we negotiated with Shengda Group and consented to have an extension of payment to extend the repayment date to December 31, 2028.</w:t>
      </w:r>
    </w:p>
    <w:p>
      <w:pPr>
        <w:spacing w:after="0" w:line="138" w:lineRule="exact"/>
        <w:rPr>
          <w:sz w:val="20"/>
          <w:szCs w:val="20"/>
          <w:color w:val="auto"/>
        </w:rPr>
      </w:pPr>
    </w:p>
    <w:p>
      <w:pPr>
        <w:jc w:val="both"/>
        <w:ind w:firstLine="541"/>
        <w:spacing w:after="0" w:line="280" w:lineRule="auto"/>
        <w:rPr>
          <w:sz w:val="20"/>
          <w:szCs w:val="20"/>
          <w:color w:val="auto"/>
        </w:rPr>
      </w:pPr>
      <w:r>
        <w:rPr>
          <w:rFonts w:ascii="Times New Roman" w:cs="Times New Roman" w:eastAsia="Times New Roman" w:hAnsi="Times New Roman"/>
          <w:sz w:val="15"/>
          <w:szCs w:val="15"/>
          <w:color w:val="auto"/>
        </w:rPr>
        <w:t>As of September 30, 2025, the payables due to the transfer of SunCar Online was US$11.8 million, and other payables were US$6.4 million to Shengda Group and US$0.3 million to Mr. Lei Zhunfu for the ordinary course of operation, which were interest free, unsecure and could be settled on demand.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 Liquidity and Capital Resources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Please see “Operating Results-Liquidity and Capital Resources”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 Research and Development, Patents and Licenses, etc.</w:t>
      </w:r>
    </w:p>
    <w:p>
      <w:pPr>
        <w:spacing w:after="0" w:line="192" w:lineRule="exact"/>
        <w:rPr>
          <w:sz w:val="20"/>
          <w:szCs w:val="20"/>
          <w:color w:val="auto"/>
        </w:rPr>
      </w:pPr>
    </w:p>
    <w:p>
      <w:pPr>
        <w:jc w:val="both"/>
        <w:ind w:firstLine="541"/>
        <w:spacing w:after="0" w:line="260" w:lineRule="auto"/>
        <w:rPr>
          <w:sz w:val="20"/>
          <w:szCs w:val="20"/>
          <w:color w:val="auto"/>
        </w:rPr>
      </w:pPr>
      <w:r>
        <w:rPr>
          <w:rFonts w:ascii="Times New Roman" w:cs="Times New Roman" w:eastAsia="Times New Roman" w:hAnsi="Times New Roman"/>
          <w:sz w:val="15"/>
          <w:szCs w:val="15"/>
          <w:color w:val="auto"/>
        </w:rPr>
        <w:t>For the nine months ended September 30, 2024 and 2025, our research and development expenses were US$33.6 million and US$3.4 million, respectively. Research and development expenses consist primarily of payroll and employee benefits for research and development, employees, rental expense, utilities, and other related expenses related to designing, developing, and maintaining the technology service platform to support its internal and external customers. We expect spending in research and development to continue to be significant over time as SunCar plans to continue to invest in its technology and innovation to enhance customer experience and provide value to its business partners.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 Trend Information</w:t>
      </w:r>
    </w:p>
    <w:p>
      <w:pPr>
        <w:spacing w:after="0" w:line="192" w:lineRule="exact"/>
        <w:rPr>
          <w:sz w:val="20"/>
          <w:szCs w:val="20"/>
          <w:color w:val="auto"/>
        </w:rPr>
      </w:pPr>
    </w:p>
    <w:p>
      <w:pPr>
        <w:jc w:val="both"/>
        <w:ind w:firstLine="541"/>
        <w:spacing w:after="0" w:line="265" w:lineRule="auto"/>
        <w:rPr>
          <w:sz w:val="20"/>
          <w:szCs w:val="20"/>
          <w:color w:val="auto"/>
        </w:rPr>
      </w:pPr>
      <w:r>
        <w:rPr>
          <w:rFonts w:ascii="Times New Roman" w:cs="Times New Roman" w:eastAsia="Times New Roman" w:hAnsi="Times New Roman"/>
          <w:sz w:val="15"/>
          <w:szCs w:val="15"/>
          <w:color w:val="auto"/>
        </w:rPr>
        <w:t>Other than as disclosed in this Report, we are not aware of any trends, uncertainties, demands, commitments or events as of September 30, 2025 that are reasonably likely to have a material and adverse effect on its net revenues, income, profitability, liquidity or capital resources, or that would cause the disclosed financial information to be not necessarily indicative of future results of operations or financial conditions.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 Critical Accounting Estimates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Please see “Operating Results-Critical Accounting Estimates” above.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715518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2" w:lineRule="exact"/>
        <w:rPr>
          <w:sz w:val="20"/>
          <w:szCs w:val="20"/>
          <w:color w:val="auto"/>
        </w:rPr>
      </w:pPr>
    </w:p>
    <w:p>
      <w:pPr>
        <w:ind w:firstLine="541"/>
        <w:spacing w:after="0" w:line="280"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7720" w:type="dxa"/>
            <w:vAlign w:val="bottom"/>
            <w:gridSpan w:val="2"/>
          </w:tcPr>
          <w:p>
            <w:pPr>
              <w:ind w:left="3220"/>
              <w:spacing w:after="0"/>
              <w:rPr>
                <w:sz w:val="20"/>
                <w:szCs w:val="20"/>
                <w:color w:val="auto"/>
              </w:rPr>
            </w:pPr>
            <w:r>
              <w:rPr>
                <w:rFonts w:ascii="Times New Roman" w:cs="Times New Roman" w:eastAsia="Times New Roman" w:hAnsi="Times New Roman"/>
                <w:sz w:val="15"/>
                <w:szCs w:val="15"/>
                <w:color w:val="auto"/>
              </w:rPr>
              <w:t>SunCar Technology Group Inc.</w:t>
            </w:r>
          </w:p>
        </w:tc>
      </w:tr>
      <w:tr>
        <w:trPr>
          <w:trHeight w:val="364"/>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Date: December 22, 2025</w:t>
            </w:r>
          </w:p>
        </w:tc>
        <w:tc>
          <w:tcPr>
            <w:tcW w:w="3780" w:type="dxa"/>
            <w:vAlign w:val="bottom"/>
          </w:tcPr>
          <w:p>
            <w:pPr>
              <w:ind w:left="3220"/>
              <w:spacing w:after="0"/>
              <w:rPr>
                <w:sz w:val="20"/>
                <w:szCs w:val="20"/>
                <w:color w:val="auto"/>
              </w:rPr>
            </w:pPr>
            <w:r>
              <w:rPr>
                <w:rFonts w:ascii="Times New Roman" w:cs="Times New Roman" w:eastAsia="Times New Roman" w:hAnsi="Times New Roman"/>
                <w:sz w:val="15"/>
                <w:szCs w:val="15"/>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Zaichang Ye</w:t>
            </w:r>
          </w:p>
        </w:tc>
      </w:tr>
      <w:tr>
        <w:trPr>
          <w:trHeight w:val="166"/>
        </w:trPr>
        <w:tc>
          <w:tcPr>
            <w:tcW w:w="3540" w:type="dxa"/>
            <w:vAlign w:val="bottom"/>
          </w:tcPr>
          <w:p>
            <w:pPr>
              <w:spacing w:after="0"/>
              <w:rPr>
                <w:sz w:val="14"/>
                <w:szCs w:val="14"/>
                <w:color w:val="auto"/>
              </w:rPr>
            </w:pPr>
          </w:p>
        </w:tc>
        <w:tc>
          <w:tcPr>
            <w:tcW w:w="3780" w:type="dxa"/>
            <w:vAlign w:val="bottom"/>
          </w:tcPr>
          <w:p>
            <w:pPr>
              <w:ind w:left="3220"/>
              <w:spacing w:after="0" w:line="166" w:lineRule="exact"/>
              <w:rPr>
                <w:sz w:val="20"/>
                <w:szCs w:val="20"/>
                <w:color w:val="auto"/>
              </w:rPr>
            </w:pPr>
            <w:r>
              <w:rPr>
                <w:rFonts w:ascii="Times New Roman" w:cs="Times New Roman" w:eastAsia="Times New Roman" w:hAnsi="Times New Roman"/>
                <w:sz w:val="15"/>
                <w:szCs w:val="15"/>
                <w:color w:val="auto"/>
              </w:rPr>
              <w:t>Name:</w:t>
            </w:r>
          </w:p>
        </w:tc>
        <w:tc>
          <w:tcPr>
            <w:tcW w:w="39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Zaichang Ye</w:t>
            </w:r>
          </w:p>
        </w:tc>
      </w:tr>
      <w:tr>
        <w:trPr>
          <w:trHeight w:val="180"/>
        </w:trPr>
        <w:tc>
          <w:tcPr>
            <w:tcW w:w="3540" w:type="dxa"/>
            <w:vAlign w:val="bottom"/>
          </w:tcPr>
          <w:p>
            <w:pPr>
              <w:spacing w:after="0"/>
              <w:rPr>
                <w:sz w:val="15"/>
                <w:szCs w:val="15"/>
                <w:color w:val="auto"/>
              </w:rPr>
            </w:pPr>
          </w:p>
        </w:tc>
        <w:tc>
          <w:tcPr>
            <w:tcW w:w="3780" w:type="dxa"/>
            <w:vAlign w:val="bottom"/>
          </w:tcPr>
          <w:p>
            <w:pPr>
              <w:ind w:left="3220"/>
              <w:spacing w:after="0"/>
              <w:rPr>
                <w:sz w:val="20"/>
                <w:szCs w:val="20"/>
                <w:color w:val="auto"/>
              </w:rPr>
            </w:pPr>
            <w:r>
              <w:rPr>
                <w:rFonts w:ascii="Times New Roman" w:cs="Times New Roman" w:eastAsia="Times New Roman" w:hAnsi="Times New Roman"/>
                <w:sz w:val="15"/>
                <w:szCs w:val="15"/>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Chief Executive Officer</w:t>
            </w:r>
          </w:p>
        </w:tc>
      </w:tr>
      <w:tr>
        <w:trPr>
          <w:trHeight w:val="194"/>
        </w:trPr>
        <w:tc>
          <w:tcPr>
            <w:tcW w:w="354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544"/>
        </w:trPr>
        <w:tc>
          <w:tcPr>
            <w:tcW w:w="35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5"/>
                <w:szCs w:val="15"/>
                <w:color w:val="auto"/>
              </w:rPr>
              <w:t>14</w:t>
            </w: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30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3"/>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1)"/>
      <w:numFmt w:val="lowerRoman"/>
      <w:start w:val="1"/>
    </w:lvl>
  </w:abstractNum>
  <w:abstractNum w:abstractNumId="9">
    <w:nsid w:val="109CF92E"/>
    <w:multiLevelType w:val="hybridMultilevel"/>
    <w:lvl w:ilvl="0">
      <w:lvlJc w:val="left"/>
      <w:lvlText w:val="%1."/>
      <w:numFmt w:val="decimal"/>
      <w:start w:val="9"/>
    </w:lvl>
  </w:abstractNum>
  <w:abstractNum w:abstractNumId="10">
    <w:nsid w:val="DED7263"/>
    <w:multiLevelType w:val="hybridMultilevel"/>
    <w:lvl w:ilvl="0">
      <w:lvlJc w:val="left"/>
      <w:lvlText w:val="(%1)"/>
      <w:numFmt w:val="lowerRoman"/>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2025-12-22T07:42:10Z</dcterms:created>
  <dcterms:modified xsi:type="dcterms:W3CDTF">2025-12-22T07:42:10Z</dcterms:modified>
</cp:coreProperties>
</file>