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178435</wp:posOffset>
            </wp:positionV>
            <wp:extent cx="71501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100" cy="762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RULE 13a-16 OR 15d-16 UNDER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month of May 2026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001-41706</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SunCar Technology Group Inc.</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 Shanghai Feiyou Trading Co., Ltd.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Suite 209, No. 656 Lingshi Road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Jing’an District, Shanghai, 200072</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Tel: (86) 138-1779-6110</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58" w:lineRule="exact"/>
        <w:rPr>
          <w:sz w:val="24"/>
          <w:szCs w:val="24"/>
          <w:color w:val="auto"/>
        </w:rPr>
      </w:pPr>
    </w:p>
    <w:p>
      <w:pPr>
        <w:jc w:val="center"/>
        <w:spacing w:after="0" w:line="184" w:lineRule="exact"/>
        <w:tabs>
          <w:tab w:leader="none" w:pos="34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25" w:lineRule="exact"/>
        <w:rPr>
          <w:sz w:val="24"/>
          <w:szCs w:val="24"/>
          <w:color w:val="auto"/>
        </w:rPr>
      </w:pPr>
    </w:p>
    <w:p>
      <w:pPr>
        <w:jc w:val="both"/>
        <w:spacing w:after="0" w:line="257" w:lineRule="auto"/>
        <w:rPr>
          <w:rFonts w:ascii="Times New Roman" w:cs="Times New Roman" w:eastAsia="Times New Roman" w:hAnsi="Times New Roman"/>
          <w:sz w:val="16"/>
          <w:szCs w:val="16"/>
          <w:color w:val="0000EE"/>
        </w:rPr>
      </w:pPr>
      <w:hyperlink r:id="rId10">
        <w:r>
          <w:rPr>
            <w:rFonts w:ascii="Times New Roman" w:cs="Times New Roman" w:eastAsia="Times New Roman" w:hAnsi="Times New Roman"/>
            <w:sz w:val="16"/>
            <w:szCs w:val="16"/>
            <w:color w:val="auto"/>
          </w:rPr>
          <w:t xml:space="preserve">This report on Form 6-K (the “Report”) shall be deemed incorporated by reference into the registrant’s Registration Statements on Form F-3 (File Nos. </w:t>
        </w:r>
        <w:r>
          <w:rPr>
            <w:rFonts w:ascii="Times New Roman" w:cs="Times New Roman" w:eastAsia="Times New Roman" w:hAnsi="Times New Roman"/>
            <w:sz w:val="16"/>
            <w:szCs w:val="16"/>
            <w:u w:val="single" w:color="auto"/>
            <w:color w:val="0000EE"/>
          </w:rPr>
          <w:t>333-280780</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0000EE"/>
          </w:rPr>
          <w:t>333-</w:t>
        </w:r>
      </w:hyperlink>
      <w:hyperlink r:id="rId10">
        <w:r>
          <w:rPr>
            <w:rFonts w:ascii="Times New Roman" w:cs="Times New Roman" w:eastAsia="Times New Roman" w:hAnsi="Times New Roman"/>
            <w:sz w:val="16"/>
            <w:szCs w:val="16"/>
            <w:u w:val="single" w:color="auto"/>
            <w:color w:val="0000EE"/>
          </w:rPr>
          <w:t>279916</w:t>
        </w:r>
        <w:r>
          <w:rPr>
            <w:rFonts w:ascii="Times New Roman" w:cs="Times New Roman" w:eastAsia="Times New Roman" w:hAnsi="Times New Roman"/>
            <w:sz w:val="16"/>
            <w:szCs w:val="16"/>
            <w:color w:val="000000"/>
          </w:rPr>
          <w:t>), including any prospectuses forming a part of such Registration Statements, and to be a part thereof from the date on which this Report is filed with the U.S. Securities and</w:t>
        </w:r>
      </w:hyperlink>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Exchange Commission (the “SEC”),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501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01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163830</wp:posOffset>
            </wp:positionV>
            <wp:extent cx="7150100" cy="14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50100" cy="146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417195</wp:posOffset>
            </wp:positionV>
            <wp:extent cx="715010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120" w:type="dxa"/>
            <w:vAlign w:val="bottom"/>
            <w:gridSpan w:val="10"/>
          </w:tcPr>
          <w:p>
            <w:pPr>
              <w:spacing w:after="0"/>
              <w:rPr>
                <w:sz w:val="20"/>
                <w:szCs w:val="20"/>
                <w:color w:val="auto"/>
              </w:rPr>
            </w:pPr>
            <w:r>
              <w:rPr>
                <w:rFonts w:ascii="Times New Roman" w:cs="Times New Roman" w:eastAsia="Times New Roman" w:hAnsi="Times New Roman"/>
                <w:sz w:val="16"/>
                <w:szCs w:val="16"/>
                <w:b w:val="1"/>
                <w:bCs w:val="1"/>
                <w:color w:val="auto"/>
              </w:rPr>
              <w:t>CONTENTS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PAGE(S)</w:t>
            </w:r>
          </w:p>
        </w:tc>
      </w:tr>
      <w:tr>
        <w:trPr>
          <w:trHeight w:val="188"/>
        </w:trPr>
        <w:tc>
          <w:tcPr>
            <w:tcW w:w="14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68"/>
        </w:trPr>
        <w:tc>
          <w:tcPr>
            <w:tcW w:w="10120" w:type="dxa"/>
            <w:vAlign w:val="bottom"/>
            <w:gridSpan w:val="1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CONDENSED CONSOLIDATED BALANCE SHEETS AS OF DECEMBER 31, 2025 AND MARCH 31, 2026 (UNAUDITED)</w:t>
            </w: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F-2</w:t>
            </w:r>
          </w:p>
        </w:tc>
      </w:tr>
      <w:tr>
        <w:trPr>
          <w:trHeight w:val="188"/>
        </w:trPr>
        <w:tc>
          <w:tcPr>
            <w:tcW w:w="140" w:type="dxa"/>
            <w:vAlign w:val="bottom"/>
            <w:tcBorders>
              <w:top w:val="single" w:sz="8" w:color="0000EE"/>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128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2340" w:type="dxa"/>
            <w:vAlign w:val="bottom"/>
            <w:tcBorders>
              <w:top w:val="single" w:sz="8" w:color="0000EE"/>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52"/>
        </w:trPr>
        <w:tc>
          <w:tcPr>
            <w:tcW w:w="9540" w:type="dxa"/>
            <w:vAlign w:val="bottom"/>
            <w:tcBorders>
              <w:bottom w:val="single" w:sz="8" w:color="0000EE"/>
            </w:tcBorders>
            <w:gridSpan w:val="6"/>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w w:val="96"/>
              </w:rPr>
              <w:t>UNAUDITED CONDENSED CONSOLIDATED STATEMENTS OF OPERATIONS AND COMPREHENSIVE (LOSS)/INCOME FOR THE THREE</w:t>
            </w:r>
          </w:p>
        </w:tc>
        <w:tc>
          <w:tcPr>
            <w:tcW w:w="580" w:type="dxa"/>
            <w:vAlign w:val="bottom"/>
            <w:tcBorders>
              <w:bottom w:val="single" w:sz="8" w:color="CCEEFF"/>
            </w:tcBorders>
            <w:gridSpan w:val="4"/>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r>
      <w:tr>
        <w:trPr>
          <w:trHeight w:val="183"/>
        </w:trPr>
        <w:tc>
          <w:tcPr>
            <w:tcW w:w="10120" w:type="dxa"/>
            <w:vAlign w:val="bottom"/>
            <w:gridSpan w:val="10"/>
            <w:shd w:val="clear" w:color="auto" w:fill="CCEEFF"/>
          </w:tcPr>
          <w:p>
            <w:pPr>
              <w:ind w:left="140"/>
              <w:spacing w:after="0" w:line="168" w:lineRule="exact"/>
              <w:rPr>
                <w:sz w:val="20"/>
                <w:szCs w:val="20"/>
                <w:color w:val="auto"/>
              </w:rPr>
            </w:pPr>
            <w:r>
              <w:rPr>
                <w:rFonts w:ascii="Times New Roman" w:cs="Times New Roman" w:eastAsia="Times New Roman" w:hAnsi="Times New Roman"/>
                <w:sz w:val="16"/>
                <w:szCs w:val="16"/>
                <w:color w:val="0000EE"/>
              </w:rPr>
              <w:t>MONTHS ENDED MARCH 31, 2025 AND 2026</w:t>
            </w:r>
          </w:p>
        </w:tc>
        <w:tc>
          <w:tcPr>
            <w:tcW w:w="114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F-3</w:t>
            </w:r>
          </w:p>
        </w:tc>
      </w:tr>
      <w:tr>
        <w:trPr>
          <w:trHeight w:val="188"/>
        </w:trPr>
        <w:tc>
          <w:tcPr>
            <w:tcW w:w="140" w:type="dxa"/>
            <w:vAlign w:val="bottom"/>
            <w:tcBorders>
              <w:top w:val="single" w:sz="8" w:color="CCEEFF"/>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1280" w:type="dxa"/>
            <w:vAlign w:val="bottom"/>
            <w:tcBorders>
              <w:top w:val="single" w:sz="8" w:color="0000EE"/>
            </w:tcBorders>
          </w:tcPr>
          <w:p>
            <w:pPr>
              <w:spacing w:after="0"/>
              <w:rPr>
                <w:sz w:val="16"/>
                <w:szCs w:val="16"/>
                <w:color w:val="auto"/>
              </w:rPr>
            </w:pPr>
          </w:p>
        </w:tc>
        <w:tc>
          <w:tcPr>
            <w:tcW w:w="252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52"/>
        </w:trPr>
        <w:tc>
          <w:tcPr>
            <w:tcW w:w="10120" w:type="dxa"/>
            <w:vAlign w:val="bottom"/>
            <w:gridSpan w:val="1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w w:val="99"/>
              </w:rPr>
              <w:t>UNAUDITED CONDENSED CONSOLIDATED STATEMENTS OF CHANGES IN SHAREHOLDERS’ EQUITY FOR THE THREE MONTHS ENDED</w:t>
            </w:r>
          </w:p>
        </w:tc>
        <w:tc>
          <w:tcPr>
            <w:tcW w:w="1140" w:type="dxa"/>
            <w:vAlign w:val="bottom"/>
            <w:shd w:val="clear" w:color="auto" w:fill="CCEEFF"/>
          </w:tcPr>
          <w:p>
            <w:pPr>
              <w:spacing w:after="0"/>
              <w:rPr>
                <w:sz w:val="13"/>
                <w:szCs w:val="13"/>
                <w:color w:val="auto"/>
              </w:rPr>
            </w:pPr>
          </w:p>
        </w:tc>
      </w:tr>
      <w:tr>
        <w:trPr>
          <w:trHeight w:val="183"/>
        </w:trPr>
        <w:tc>
          <w:tcPr>
            <w:tcW w:w="9820" w:type="dxa"/>
            <w:vAlign w:val="bottom"/>
            <w:tcBorders>
              <w:top w:val="single" w:sz="8" w:color="0000EE"/>
            </w:tcBorders>
            <w:gridSpan w:val="7"/>
            <w:shd w:val="clear" w:color="auto" w:fill="CCEEFF"/>
          </w:tcPr>
          <w:p>
            <w:pPr>
              <w:ind w:left="140"/>
              <w:spacing w:after="0" w:line="168" w:lineRule="exact"/>
              <w:rPr>
                <w:sz w:val="20"/>
                <w:szCs w:val="20"/>
                <w:color w:val="auto"/>
              </w:rPr>
            </w:pPr>
            <w:r>
              <w:rPr>
                <w:rFonts w:ascii="Times New Roman" w:cs="Times New Roman" w:eastAsia="Times New Roman" w:hAnsi="Times New Roman"/>
                <w:sz w:val="16"/>
                <w:szCs w:val="16"/>
                <w:color w:val="0000EE"/>
              </w:rPr>
              <w:t>MARCH 31, 2025 AND 2026</w:t>
            </w:r>
          </w:p>
        </w:tc>
        <w:tc>
          <w:tcPr>
            <w:tcW w:w="300" w:type="dxa"/>
            <w:vAlign w:val="bottom"/>
            <w:tcBorders>
              <w:top w:val="single" w:sz="8" w:color="CCEEFF"/>
            </w:tcBorders>
            <w:gridSpan w:val="3"/>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F-4</w:t>
            </w:r>
          </w:p>
        </w:tc>
      </w:tr>
      <w:tr>
        <w:trPr>
          <w:trHeight w:val="188"/>
        </w:trPr>
        <w:tc>
          <w:tcPr>
            <w:tcW w:w="140" w:type="dxa"/>
            <w:vAlign w:val="bottom"/>
            <w:tcBorders>
              <w:top w:val="single" w:sz="8" w:color="CCEEFF"/>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1280" w:type="dxa"/>
            <w:vAlign w:val="bottom"/>
            <w:tcBorders>
              <w:top w:val="single" w:sz="8" w:color="CCEEFF"/>
            </w:tcBorders>
          </w:tcPr>
          <w:p>
            <w:pPr>
              <w:spacing w:after="0"/>
              <w:rPr>
                <w:sz w:val="16"/>
                <w:szCs w:val="16"/>
                <w:color w:val="auto"/>
              </w:rPr>
            </w:pPr>
          </w:p>
        </w:tc>
        <w:tc>
          <w:tcPr>
            <w:tcW w:w="2520" w:type="dxa"/>
            <w:vAlign w:val="bottom"/>
            <w:tcBorders>
              <w:top w:val="single" w:sz="8" w:color="CCEEFF"/>
            </w:tcBorders>
          </w:tcPr>
          <w:p>
            <w:pPr>
              <w:spacing w:after="0"/>
              <w:rPr>
                <w:sz w:val="16"/>
                <w:szCs w:val="16"/>
                <w:color w:val="auto"/>
              </w:rPr>
            </w:pPr>
          </w:p>
        </w:tc>
        <w:tc>
          <w:tcPr>
            <w:tcW w:w="234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8"/>
        </w:trPr>
        <w:tc>
          <w:tcPr>
            <w:tcW w:w="10120" w:type="dxa"/>
            <w:vAlign w:val="bottom"/>
            <w:gridSpan w:val="1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w w:val="99"/>
              </w:rPr>
              <w:t>UNAUDITED CONDENSED CONSOLIDATED STATEMENTS OF CASH FLOWS FOR THE THREE MONTHS ENDED MARCH 31, 2025 AND 2026</w:t>
            </w: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F-5</w:t>
            </w:r>
          </w:p>
        </w:tc>
      </w:tr>
      <w:tr>
        <w:trPr>
          <w:trHeight w:val="188"/>
        </w:trPr>
        <w:tc>
          <w:tcPr>
            <w:tcW w:w="140" w:type="dxa"/>
            <w:vAlign w:val="bottom"/>
            <w:tcBorders>
              <w:top w:val="single" w:sz="8" w:color="0000EE"/>
            </w:tcBorders>
          </w:tcPr>
          <w:p>
            <w:pPr>
              <w:spacing w:after="0"/>
              <w:rPr>
                <w:sz w:val="16"/>
                <w:szCs w:val="16"/>
                <w:color w:val="auto"/>
              </w:rPr>
            </w:pPr>
          </w:p>
        </w:tc>
        <w:tc>
          <w:tcPr>
            <w:tcW w:w="1880" w:type="dxa"/>
            <w:vAlign w:val="bottom"/>
            <w:tcBorders>
              <w:top w:val="single" w:sz="8" w:color="0000EE"/>
            </w:tcBorders>
          </w:tcPr>
          <w:p>
            <w:pPr>
              <w:spacing w:after="0"/>
              <w:rPr>
                <w:sz w:val="16"/>
                <w:szCs w:val="16"/>
                <w:color w:val="auto"/>
              </w:rPr>
            </w:pPr>
          </w:p>
        </w:tc>
        <w:tc>
          <w:tcPr>
            <w:tcW w:w="1280" w:type="dxa"/>
            <w:vAlign w:val="bottom"/>
            <w:tcBorders>
              <w:top w:val="single" w:sz="8" w:color="0000EE"/>
            </w:tcBorders>
          </w:tcPr>
          <w:p>
            <w:pPr>
              <w:spacing w:after="0"/>
              <w:rPr>
                <w:sz w:val="16"/>
                <w:szCs w:val="16"/>
                <w:color w:val="auto"/>
              </w:rPr>
            </w:pPr>
          </w:p>
        </w:tc>
        <w:tc>
          <w:tcPr>
            <w:tcW w:w="2520" w:type="dxa"/>
            <w:vAlign w:val="bottom"/>
            <w:tcBorders>
              <w:top w:val="single" w:sz="8" w:color="0000EE"/>
            </w:tcBorders>
          </w:tcPr>
          <w:p>
            <w:pPr>
              <w:spacing w:after="0"/>
              <w:rPr>
                <w:sz w:val="16"/>
                <w:szCs w:val="16"/>
                <w:color w:val="auto"/>
              </w:rPr>
            </w:pPr>
          </w:p>
        </w:tc>
        <w:tc>
          <w:tcPr>
            <w:tcW w:w="2340" w:type="dxa"/>
            <w:vAlign w:val="bottom"/>
            <w:tcBorders>
              <w:top w:val="single" w:sz="8" w:color="0000EE"/>
            </w:tcBorders>
          </w:tcPr>
          <w:p>
            <w:pPr>
              <w:spacing w:after="0"/>
              <w:rPr>
                <w:sz w:val="16"/>
                <w:szCs w:val="16"/>
                <w:color w:val="auto"/>
              </w:rPr>
            </w:pPr>
          </w:p>
        </w:tc>
        <w:tc>
          <w:tcPr>
            <w:tcW w:w="13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68"/>
        </w:trPr>
        <w:tc>
          <w:tcPr>
            <w:tcW w:w="10120" w:type="dxa"/>
            <w:vAlign w:val="bottom"/>
            <w:gridSpan w:val="10"/>
            <w:shd w:val="clear" w:color="auto" w:fill="CCEEFF"/>
          </w:tcPr>
          <w:p>
            <w:pPr>
              <w:spacing w:after="0" w:line="152" w:lineRule="exact"/>
              <w:rPr>
                <w:sz w:val="20"/>
                <w:szCs w:val="20"/>
                <w:color w:val="auto"/>
              </w:rPr>
            </w:pPr>
            <w:r>
              <w:rPr>
                <w:rFonts w:ascii="Times New Roman" w:cs="Times New Roman" w:eastAsia="Times New Roman" w:hAnsi="Times New Roman"/>
                <w:sz w:val="16"/>
                <w:szCs w:val="16"/>
                <w:color w:val="0000EE"/>
              </w:rPr>
              <w:t>NOTES TO UNAUDITED CONDENSED CONSOLIDATED FINANCIAL STATEMENTS</w:t>
            </w:r>
          </w:p>
        </w:tc>
        <w:tc>
          <w:tcPr>
            <w:tcW w:w="1140" w:type="dxa"/>
            <w:vAlign w:val="bottom"/>
            <w:shd w:val="clear" w:color="auto" w:fill="CCEEFF"/>
          </w:tcPr>
          <w:p>
            <w:pPr>
              <w:jc w:val="center"/>
              <w:spacing w:after="0" w:line="152" w:lineRule="exact"/>
              <w:rPr>
                <w:sz w:val="20"/>
                <w:szCs w:val="20"/>
                <w:color w:val="auto"/>
              </w:rPr>
            </w:pPr>
            <w:r>
              <w:rPr>
                <w:rFonts w:ascii="Times New Roman" w:cs="Times New Roman" w:eastAsia="Times New Roman" w:hAnsi="Times New Roman"/>
                <w:sz w:val="16"/>
                <w:szCs w:val="16"/>
                <w:color w:val="auto"/>
                <w:w w:val="98"/>
              </w:rPr>
              <w:t>F-6</w:t>
            </w:r>
          </w:p>
        </w:tc>
      </w:tr>
      <w:tr>
        <w:trPr>
          <w:trHeight w:val="566"/>
        </w:trPr>
        <w:tc>
          <w:tcPr>
            <w:tcW w:w="140" w:type="dxa"/>
            <w:vAlign w:val="bottom"/>
            <w:tcBorders>
              <w:top w:val="single" w:sz="8" w:color="0000EE"/>
              <w:bottom w:val="single" w:sz="8" w:color="auto"/>
            </w:tcBorders>
          </w:tcPr>
          <w:p>
            <w:pPr>
              <w:spacing w:after="0"/>
              <w:rPr>
                <w:sz w:val="24"/>
                <w:szCs w:val="24"/>
                <w:color w:val="auto"/>
              </w:rPr>
            </w:pPr>
          </w:p>
        </w:tc>
        <w:tc>
          <w:tcPr>
            <w:tcW w:w="1880" w:type="dxa"/>
            <w:vAlign w:val="bottom"/>
            <w:tcBorders>
              <w:top w:val="single" w:sz="8" w:color="0000EE"/>
              <w:bottom w:val="single" w:sz="8" w:color="auto"/>
            </w:tcBorders>
          </w:tcPr>
          <w:p>
            <w:pPr>
              <w:spacing w:after="0"/>
              <w:rPr>
                <w:sz w:val="24"/>
                <w:szCs w:val="24"/>
                <w:color w:val="auto"/>
              </w:rPr>
            </w:pPr>
          </w:p>
        </w:tc>
        <w:tc>
          <w:tcPr>
            <w:tcW w:w="1280" w:type="dxa"/>
            <w:vAlign w:val="bottom"/>
            <w:tcBorders>
              <w:top w:val="single" w:sz="8" w:color="0000EE"/>
              <w:bottom w:val="single" w:sz="8" w:color="auto"/>
            </w:tcBorders>
          </w:tcPr>
          <w:p>
            <w:pPr>
              <w:spacing w:after="0"/>
              <w:rPr>
                <w:sz w:val="24"/>
                <w:szCs w:val="24"/>
                <w:color w:val="auto"/>
              </w:rPr>
            </w:pPr>
          </w:p>
        </w:tc>
        <w:tc>
          <w:tcPr>
            <w:tcW w:w="2520" w:type="dxa"/>
            <w:vAlign w:val="bottom"/>
            <w:tcBorders>
              <w:top w:val="single" w:sz="8" w:color="0000EE"/>
              <w:bottom w:val="single" w:sz="8" w:color="auto"/>
            </w:tcBorders>
          </w:tcPr>
          <w:p>
            <w:pPr>
              <w:ind w:left="2220"/>
              <w:spacing w:after="0"/>
              <w:rPr>
                <w:sz w:val="20"/>
                <w:szCs w:val="20"/>
                <w:color w:val="auto"/>
              </w:rPr>
            </w:pPr>
            <w:r>
              <w:rPr>
                <w:rFonts w:ascii="Times New Roman" w:cs="Times New Roman" w:eastAsia="Times New Roman" w:hAnsi="Times New Roman"/>
                <w:sz w:val="16"/>
                <w:szCs w:val="16"/>
                <w:color w:val="auto"/>
              </w:rPr>
              <w:t>F-1</w:t>
            </w:r>
          </w:p>
        </w:tc>
        <w:tc>
          <w:tcPr>
            <w:tcW w:w="4300" w:type="dxa"/>
            <w:vAlign w:val="bottom"/>
            <w:tcBorders>
              <w:top w:val="single" w:sz="8" w:color="CCEEFF"/>
              <w:bottom w:val="single" w:sz="8" w:color="auto"/>
            </w:tcBorders>
            <w:gridSpan w:val="6"/>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77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 (UNAUDITED)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U.S. Dollar thousands, except for share and per share data, or otherwise noted)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8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8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25,019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21,597</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21,853</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59,767</w:t>
            </w:r>
          </w:p>
        </w:tc>
        <w:tc>
          <w:tcPr>
            <w:tcW w:w="120" w:type="dxa"/>
            <w:vAlign w:val="bottom"/>
          </w:tcPr>
          <w:p>
            <w:pPr>
              <w:spacing w:after="0"/>
              <w:rPr>
                <w:sz w:val="16"/>
                <w:szCs w:val="16"/>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46,098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74,072</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108,367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183,296</w:t>
            </w:r>
          </w:p>
        </w:tc>
        <w:tc>
          <w:tcPr>
            <w:tcW w:w="2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192,868</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investment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Property, software and equipment, net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24,195</w:t>
            </w:r>
          </w:p>
        </w:tc>
        <w:tc>
          <w:tcPr>
            <w:tcW w:w="120" w:type="dxa"/>
            <w:vAlign w:val="bottom"/>
          </w:tcPr>
          <w:p>
            <w:pPr>
              <w:spacing w:after="0"/>
              <w:rPr>
                <w:sz w:val="16"/>
                <w:szCs w:val="16"/>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23,463</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24,335</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tcPr>
          <w:p>
            <w:pPr>
              <w:spacing w:after="0"/>
              <w:rPr>
                <w:sz w:val="16"/>
                <w:szCs w:val="16"/>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 net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11,947</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11,781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30,821</w:t>
            </w: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69,900</w:t>
            </w:r>
          </w:p>
        </w:tc>
        <w:tc>
          <w:tcPr>
            <w:tcW w:w="2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66,097</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253,196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258,965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80,394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82,082</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 current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41,404</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46,918</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payable</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10,697</w:t>
            </w: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 due to related parties, current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834</w:t>
            </w:r>
          </w:p>
        </w:tc>
        <w:tc>
          <w:tcPr>
            <w:tcW w:w="120" w:type="dxa"/>
            <w:vAlign w:val="bottom"/>
          </w:tcPr>
          <w:p>
            <w:pPr>
              <w:spacing w:after="0"/>
              <w:rPr>
                <w:sz w:val="17"/>
                <w:szCs w:val="17"/>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191"/>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147,257</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150,547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 non-current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1,377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Amount due to related parties, non-current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12,516</w:t>
            </w:r>
          </w:p>
        </w:tc>
        <w:tc>
          <w:tcPr>
            <w:tcW w:w="120" w:type="dxa"/>
            <w:vAlign w:val="bottom"/>
          </w:tcPr>
          <w:p>
            <w:pPr>
              <w:spacing w:after="0"/>
              <w:rPr>
                <w:sz w:val="16"/>
                <w:szCs w:val="16"/>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12,688</w:t>
            </w:r>
          </w:p>
        </w:tc>
        <w:tc>
          <w:tcPr>
            <w:tcW w:w="0" w:type="dxa"/>
            <w:vAlign w:val="bottom"/>
          </w:tcPr>
          <w:p>
            <w:pPr>
              <w:spacing w:after="0"/>
              <w:rPr>
                <w:sz w:val="1"/>
                <w:szCs w:val="1"/>
                <w:color w:val="auto"/>
              </w:rPr>
            </w:pPr>
          </w:p>
        </w:tc>
      </w:tr>
      <w:tr>
        <w:trPr>
          <w:trHeight w:val="219"/>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 liabilities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60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8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15,257</w:t>
            </w:r>
          </w:p>
        </w:tc>
        <w:tc>
          <w:tcPr>
            <w:tcW w:w="2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15,272</w:t>
            </w:r>
          </w:p>
        </w:tc>
        <w:tc>
          <w:tcPr>
            <w:tcW w:w="120" w:type="dxa"/>
            <w:vAlign w:val="bottom"/>
            <w:tcBorders>
              <w:top w:val="single" w:sz="8" w:color="CCEEFF"/>
              <w:bottom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162,514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165,819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6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w w:val="98"/>
              </w:rPr>
              <w:t>Class A Ordinary shares (par value of $0.0001 per share; 400,000,000 Class A Ordinary shares authorized as of December 31, 2025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March 31, 2026, respectively; 59,608,351 and 55,969,794 Class A Ordinary shares issued and outstanding as of December 31, 2025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March 31, 2026, respectively)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72"/>
        </w:trPr>
        <w:tc>
          <w:tcPr>
            <w:tcW w:w="86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w w:val="98"/>
              </w:rPr>
              <w:t>Class B Ordinary shares (par value of $0.0001 per share; 100,000,000 Class B Ordinary shares authorized as of December 31, 2025 and</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March 31, 2026, respectively; 46,039,565 Class B Ordinary shares issued and outstanding as of December 31, 2025 and March 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 respectively)</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233,014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232,989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(199,329)</w:t>
            </w:r>
          </w:p>
        </w:tc>
        <w:tc>
          <w:tcPr>
            <w:tcW w:w="12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(198,601)</w:t>
            </w:r>
          </w:p>
        </w:tc>
        <w:tc>
          <w:tcPr>
            <w:tcW w:w="0" w:type="dxa"/>
            <w:vAlign w:val="bottom"/>
          </w:tcPr>
          <w:p>
            <w:pPr>
              <w:spacing w:after="0"/>
              <w:rPr>
                <w:sz w:val="1"/>
                <w:szCs w:val="1"/>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tcPr>
          <w:p>
            <w:pPr>
              <w:spacing w:after="0"/>
              <w:rPr>
                <w:sz w:val="17"/>
                <w:szCs w:val="17"/>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(1,227)</w:t>
            </w:r>
          </w:p>
        </w:tc>
        <w:tc>
          <w:tcPr>
            <w:tcW w:w="0" w:type="dxa"/>
            <w:vAlign w:val="bottom"/>
          </w:tcPr>
          <w:p>
            <w:pPr>
              <w:spacing w:after="0"/>
              <w:rPr>
                <w:sz w:val="1"/>
                <w:szCs w:val="1"/>
                <w:color w:val="auto"/>
              </w:rPr>
            </w:pPr>
          </w:p>
        </w:tc>
      </w:tr>
      <w:tr>
        <w:trPr>
          <w:trHeight w:val="188"/>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SUNCAR TECHNOLOGY GROUP INC’s shareholders’ equity</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32,550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33,172</w:t>
            </w:r>
          </w:p>
        </w:tc>
        <w:tc>
          <w:tcPr>
            <w:tcW w:w="120" w:type="dxa"/>
            <w:vAlign w:val="bottom"/>
            <w:tcBorders>
              <w:top w:val="single" w:sz="8" w:color="CCEEFF"/>
            </w:tcBorders>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58,132</w:t>
            </w:r>
          </w:p>
        </w:tc>
        <w:tc>
          <w:tcPr>
            <w:tcW w:w="120" w:type="dxa"/>
            <w:vAlign w:val="bottom"/>
          </w:tcPr>
          <w:p>
            <w:pPr>
              <w:spacing w:after="0"/>
              <w:rPr>
                <w:sz w:val="17"/>
                <w:szCs w:val="17"/>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59,974</w:t>
            </w:r>
          </w:p>
        </w:tc>
        <w:tc>
          <w:tcPr>
            <w:tcW w:w="0" w:type="dxa"/>
            <w:vAlign w:val="bottom"/>
          </w:tcPr>
          <w:p>
            <w:pPr>
              <w:spacing w:after="0"/>
              <w:rPr>
                <w:sz w:val="1"/>
                <w:szCs w:val="1"/>
                <w:color w:val="auto"/>
              </w:rPr>
            </w:pPr>
          </w:p>
        </w:tc>
      </w:tr>
      <w:tr>
        <w:trPr>
          <w:trHeight w:val="208"/>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90,682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93,146</w:t>
            </w: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253,196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258,965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OPERATIONS AND COMPREHENSIVE (LOSS)/INCOME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U.S. Dollar thousands, except for share and per share data, or otherwise noted)</w:t>
      </w:r>
    </w:p>
    <w:p>
      <w:pPr>
        <w:spacing w:after="0" w:line="17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Revenues</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5480" w:type="dxa"/>
            <w:vAlign w:val="bottom"/>
            <w:gridSpan w:val="2"/>
            <w:vMerge w:val="continue"/>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einsurance service</w:t>
            </w:r>
          </w:p>
        </w:tc>
        <w:tc>
          <w:tcPr>
            <w:tcW w:w="3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45,927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62,337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Technology service</w:t>
            </w: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10,665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15,283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service</w:t>
            </w:r>
          </w:p>
        </w:tc>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46,003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53,548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revenues</w:t>
            </w:r>
          </w:p>
        </w:tc>
        <w:tc>
          <w:tcPr>
            <w:tcW w:w="32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102,595</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131,168</w:t>
            </w: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546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Operating cost and expenses</w:t>
            </w: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Integrated service cost</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(48,422)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Promotional service expenses</w:t>
            </w: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(44,725)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(57,846)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3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32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(105,553</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(128,155</w:t>
            </w:r>
          </w:p>
        </w:tc>
        <w:tc>
          <w:tcPr>
            <w:tcW w:w="12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(loss)/income</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ectPr>
          <w:pgSz w:w="11900" w:h="16838" w:orient="portrait"/>
          <w:cols w:equalWidth="0" w:num="1">
            <w:col w:w="11260"/>
          </w:cols>
          <w:pgMar w:left="320" w:top="778" w:right="31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Other (expenses)/income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Financial expenses, net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150100" cy="133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0100" cy="13398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(Loss)/income before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Income tax benefit/(expense)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50100" cy="126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0100" cy="12636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Less: Net (loss)/income attributable to non-controlling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33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0100" cy="13398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the Company’s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0100" cy="119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line="173" w:lineRule="exact"/>
        <w:rPr>
          <w:sz w:val="20"/>
          <w:szCs w:val="20"/>
          <w:color w:val="auto"/>
        </w:rPr>
      </w:pPr>
    </w:p>
    <w:p>
      <w:pPr>
        <w:ind w:right="2380"/>
        <w:spacing w:after="0" w:line="270" w:lineRule="auto"/>
        <w:rPr>
          <w:sz w:val="20"/>
          <w:szCs w:val="20"/>
          <w:color w:val="auto"/>
        </w:rPr>
      </w:pPr>
      <w:r>
        <w:rPr>
          <w:rFonts w:ascii="Times New Roman" w:cs="Times New Roman" w:eastAsia="Times New Roman" w:hAnsi="Times New Roman"/>
          <w:sz w:val="16"/>
          <w:szCs w:val="16"/>
          <w:color w:val="auto"/>
        </w:rPr>
        <w:t>Net (loss)/income attributable to the Company’s ordinary shareholders per ordinary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150100" cy="156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0100" cy="156210"/>
                    </a:xfrm>
                    <a:prstGeom prst="rect">
                      <a:avLst/>
                    </a:prstGeom>
                    <a:noFill/>
                  </pic:spPr>
                </pic:pic>
              </a:graphicData>
            </a:graphic>
          </wp:anchor>
        </w:drawing>
      </w:r>
    </w:p>
    <w:p>
      <w:pPr>
        <w:spacing w:after="0" w:line="223" w:lineRule="exact"/>
        <w:rPr>
          <w:sz w:val="20"/>
          <w:szCs w:val="20"/>
          <w:color w:val="auto"/>
        </w:rPr>
      </w:pPr>
    </w:p>
    <w:p>
      <w:pPr>
        <w:ind w:right="2440"/>
        <w:spacing w:after="0" w:line="270" w:lineRule="auto"/>
        <w:rPr>
          <w:sz w:val="20"/>
          <w:szCs w:val="20"/>
          <w:color w:val="auto"/>
        </w:rPr>
      </w:pPr>
      <w:r>
        <w:rPr>
          <w:rFonts w:ascii="Times New Roman" w:cs="Times New Roman" w:eastAsia="Times New Roman" w:hAnsi="Times New Roman"/>
          <w:sz w:val="16"/>
          <w:szCs w:val="16"/>
          <w:color w:val="auto"/>
        </w:rPr>
        <w:t>Weighted average shares outstanding used in calculating basic and diluted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-251460</wp:posOffset>
            </wp:positionV>
            <wp:extent cx="7150100" cy="119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23495</wp:posOffset>
            </wp:positionV>
            <wp:extent cx="7150100" cy="14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comprehensive (loss)/income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translation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56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0100" cy="15621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other comprehensive (loss)/income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50100" cy="119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comprehensive (loss)/income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720" w:type="dxa"/>
        <w:tblCellMar>
          <w:top w:w="0" w:type="dxa"/>
          <w:left w:w="0" w:type="dxa"/>
          <w:bottom w:w="0" w:type="dxa"/>
          <w:right w:w="0" w:type="dxa"/>
        </w:tblCellMar>
      </w:tblPr>
      <w:tr>
        <w:trPr>
          <w:trHeight w:val="188"/>
        </w:trPr>
        <w:tc>
          <w:tcPr>
            <w:tcW w:w="90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w w:val="94"/>
              </w:rPr>
              <w:t>(1,029)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199"/>
        </w:trPr>
        <w:tc>
          <w:tcPr>
            <w:tcW w:w="90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122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3"/>
        </w:trPr>
        <w:tc>
          <w:tcPr>
            <w:tcW w:w="90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134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6" w:lineRule="exact"/>
        <w:rPr>
          <w:sz w:val="20"/>
          <w:szCs w:val="20"/>
          <w:color w:val="auto"/>
        </w:rPr>
      </w:pPr>
    </w:p>
    <w:p>
      <w:pPr>
        <w:ind w:left="2060" w:hanging="1215"/>
        <w:spacing w:after="0"/>
        <w:tabs>
          <w:tab w:leader="none" w:pos="206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(1,005)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(3,731)</w:t>
            </w: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9"/>
        </w:trPr>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05"/>
        </w:trPr>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(3,647)</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1,560</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373"/>
        </w:trPr>
        <w:tc>
          <w:tcPr>
            <w:tcW w:w="2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(245)</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832</w:t>
            </w:r>
          </w:p>
        </w:tc>
        <w:tc>
          <w:tcPr>
            <w:tcW w:w="40" w:type="dxa"/>
            <w:vAlign w:val="bottom"/>
          </w:tcPr>
          <w:p>
            <w:pPr>
              <w:spacing w:after="0"/>
              <w:rPr>
                <w:sz w:val="24"/>
                <w:szCs w:val="24"/>
                <w:color w:val="auto"/>
              </w:rPr>
            </w:pPr>
          </w:p>
        </w:tc>
      </w:tr>
      <w:tr>
        <w:trPr>
          <w:trHeight w:val="205"/>
        </w:trPr>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(3,402)</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728</w:t>
            </w:r>
          </w:p>
        </w:tc>
        <w:tc>
          <w:tcPr>
            <w:tcW w:w="40" w:type="dxa"/>
            <w:vAlign w:val="bottom"/>
          </w:tcPr>
          <w:p>
            <w:pPr>
              <w:spacing w:after="0"/>
              <w:rPr>
                <w:sz w:val="17"/>
                <w:szCs w:val="17"/>
                <w:color w:val="auto"/>
              </w:rPr>
            </w:pPr>
          </w:p>
        </w:tc>
      </w:tr>
      <w:tr>
        <w:trPr>
          <w:trHeight w:val="584"/>
        </w:trPr>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(0.03</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6"/>
                <w:szCs w:val="16"/>
                <w:color w:val="auto"/>
              </w:rPr>
              <w:t xml:space="preserve">  $</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0.01</w:t>
            </w:r>
          </w:p>
        </w:tc>
        <w:tc>
          <w:tcPr>
            <w:tcW w:w="40" w:type="dxa"/>
            <w:vAlign w:val="bottom"/>
          </w:tcPr>
          <w:p>
            <w:pPr>
              <w:spacing w:after="0"/>
              <w:rPr>
                <w:sz w:val="24"/>
                <w:szCs w:val="24"/>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7"/>
        </w:trPr>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102,432,043</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102,009,359</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97"/>
        </w:trPr>
        <w:tc>
          <w:tcPr>
            <w:tcW w:w="2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(1,203</w:t>
            </w:r>
            <w:r>
              <w:rPr>
                <w:rFonts w:ascii="Times New Roman" w:cs="Times New Roman" w:eastAsia="Times New Roman" w:hAnsi="Times New Roman"/>
                <w:sz w:val="31"/>
                <w:szCs w:val="31"/>
                <w:color w:val="auto"/>
                <w:vertAlign w:val="superscript"/>
              </w:rPr>
              <w:t>)</w:t>
            </w: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967</w:t>
            </w:r>
          </w:p>
        </w:tc>
        <w:tc>
          <w:tcPr>
            <w:tcW w:w="40" w:type="dxa"/>
            <w:vAlign w:val="bottom"/>
          </w:tcPr>
          <w:p>
            <w:pPr>
              <w:spacing w:after="0"/>
              <w:rPr>
                <w:sz w:val="24"/>
                <w:szCs w:val="24"/>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0"/>
        </w:trPr>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56"/>
        </w:trPr>
        <w:tc>
          <w:tcPr>
            <w:tcW w:w="2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(4,850)</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2,527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7" w:lineRule="exact"/>
        <w:rPr>
          <w:sz w:val="20"/>
          <w:szCs w:val="20"/>
          <w:color w:val="auto"/>
        </w:rPr>
      </w:pPr>
    </w:p>
    <w:p>
      <w:pPr>
        <w:sectPr>
          <w:pgSz w:w="11900" w:h="16838" w:orient="portrait"/>
          <w:cols w:equalWidth="0" w:num="2">
            <w:col w:w="7960" w:space="720"/>
            <w:col w:w="2580"/>
          </w:cols>
          <w:pgMar w:left="320" w:top="778" w:right="31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total comprehensive income attributable to non-controlling interest</w:t>
            </w:r>
          </w:p>
        </w:tc>
        <w:tc>
          <w:tcPr>
            <w:tcW w:w="6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8"/>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(loss)/income attributable to the SUNCAR TECHNOLOGY GROUP INC’s shareholders</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(4,936</w:t>
            </w:r>
          </w:p>
        </w:tc>
        <w:tc>
          <w:tcPr>
            <w:tcW w:w="240" w:type="dxa"/>
            <w:vAlign w:val="bottom"/>
            <w:gridSpan w:val="2"/>
          </w:tcPr>
          <w:p>
            <w:pPr>
              <w:jc w:val="right"/>
              <w:ind w:right="20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647</w:t>
            </w:r>
          </w:p>
        </w:tc>
        <w:tc>
          <w:tcPr>
            <w:tcW w:w="120" w:type="dxa"/>
            <w:vAlign w:val="bottom"/>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type w:val="continuous"/>
        </w:sectPr>
      </w:pPr>
    </w:p>
    <w:bookmarkStart w:id="4" w:name="page5"/>
    <w:bookmarkEnd w:id="4"/>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SHAREHOLDERS’ EQUITY</w:t>
      </w:r>
    </w:p>
    <w:p>
      <w:pPr>
        <w:spacing w:after="0" w:line="4"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(In U.S. Dollar thousands, except for share and per share data, or otherwise noted)</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 Ordinary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8"/>
              </w:rPr>
              <w:t>Class B Ordinary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3"/>
              </w:rPr>
              <w:t>other</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Company’s</w:t>
            </w:r>
          </w:p>
        </w:tc>
        <w:tc>
          <w:tcPr>
            <w:tcW w:w="10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Non-</w:t>
            </w:r>
          </w:p>
        </w:tc>
        <w:tc>
          <w:tcPr>
            <w:tcW w:w="160" w:type="dxa"/>
            <w:vAlign w:val="bottom"/>
          </w:tcPr>
          <w:p>
            <w:pPr>
              <w:spacing w:after="0"/>
              <w:rPr>
                <w:sz w:val="16"/>
                <w:szCs w:val="16"/>
                <w:color w:val="auto"/>
              </w:rPr>
            </w:pPr>
          </w:p>
        </w:tc>
        <w:tc>
          <w:tcPr>
            <w:tcW w:w="820" w:type="dxa"/>
            <w:vAlign w:val="bottom"/>
          </w:tcPr>
          <w:p>
            <w:pPr>
              <w:jc w:val="right"/>
              <w:ind w:right="26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3"/>
          </w:tcPr>
          <w:p>
            <w:pPr>
              <w:jc w:val="center"/>
              <w:ind w:left="2"/>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gridSpan w:val="3"/>
          </w:tcPr>
          <w:p>
            <w:pPr>
              <w:jc w:val="center"/>
              <w:ind w:left="42"/>
              <w:spacing w:after="0"/>
              <w:rPr>
                <w:sz w:val="20"/>
                <w:szCs w:val="20"/>
                <w:color w:val="auto"/>
              </w:rPr>
            </w:pPr>
            <w:r>
              <w:rPr>
                <w:rFonts w:ascii="Times New Roman" w:cs="Times New Roman" w:eastAsia="Times New Roman" w:hAnsi="Times New Roman"/>
                <w:sz w:val="16"/>
                <w:szCs w:val="16"/>
                <w:b w:val="1"/>
                <w:bCs w:val="1"/>
                <w:color w:val="auto"/>
                <w:w w:val="95"/>
              </w:rPr>
              <w:t>Treasury shares</w:t>
            </w:r>
          </w:p>
        </w:tc>
        <w:tc>
          <w:tcPr>
            <w:tcW w:w="220" w:type="dxa"/>
            <w:vAlign w:val="bottom"/>
            <w:tcBorders>
              <w:bottom w:val="single" w:sz="8" w:color="auto"/>
            </w:tcBorders>
          </w:tcPr>
          <w:p>
            <w:pPr>
              <w:spacing w:after="0"/>
              <w:rPr>
                <w:sz w:val="19"/>
                <w:szCs w:val="19"/>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4980" w:type="dxa"/>
            <w:vAlign w:val="bottom"/>
            <w:gridSpan w:val="14"/>
          </w:tcPr>
          <w:p>
            <w:pPr>
              <w:jc w:val="right"/>
              <w:spacing w:after="0"/>
              <w:rPr>
                <w:sz w:val="20"/>
                <w:szCs w:val="20"/>
                <w:color w:val="auto"/>
              </w:rPr>
            </w:pPr>
            <w:r>
              <w:rPr>
                <w:rFonts w:ascii="Times New Roman" w:cs="Times New Roman" w:eastAsia="Times New Roman" w:hAnsi="Times New Roman"/>
                <w:sz w:val="16"/>
                <w:szCs w:val="16"/>
                <w:b w:val="1"/>
                <w:bCs w:val="1"/>
                <w:color w:val="auto"/>
              </w:rPr>
              <w:t>Accumulated  comprehensive  shareholders’  controlling  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2"/>
              </w:rPr>
              <w:t>Amount</w:t>
            </w:r>
          </w:p>
        </w:tc>
        <w:tc>
          <w:tcPr>
            <w:tcW w:w="1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60" w:type="dxa"/>
            <w:vAlign w:val="bottom"/>
          </w:tcPr>
          <w:p>
            <w:pPr>
              <w:spacing w:after="0"/>
              <w:rPr>
                <w:sz w:val="17"/>
                <w:szCs w:val="17"/>
                <w:color w:val="auto"/>
              </w:rPr>
            </w:pPr>
          </w:p>
        </w:tc>
        <w:tc>
          <w:tcPr>
            <w:tcW w:w="1060" w:type="dxa"/>
            <w:vAlign w:val="bottom"/>
            <w:gridSpan w:val="3"/>
          </w:tcPr>
          <w:p>
            <w:pPr>
              <w:jc w:val="right"/>
              <w:ind w:right="48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9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3"/>
              </w:rPr>
              <w:t>interests</w:t>
            </w:r>
          </w:p>
        </w:tc>
        <w:tc>
          <w:tcPr>
            <w:tcW w:w="160" w:type="dxa"/>
            <w:vAlign w:val="bottom"/>
          </w:tcPr>
          <w:p>
            <w:pPr>
              <w:spacing w:after="0"/>
              <w:rPr>
                <w:sz w:val="17"/>
                <w:szCs w:val="17"/>
                <w:color w:val="auto"/>
              </w:rPr>
            </w:pP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right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31, 2024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51,845,493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46,659,565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(200,000)</w:t>
            </w: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208,701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(195,387)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(1,432)</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11,892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54,342</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66,234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center"/>
              <w:ind w:left="602"/>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22"/>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(3,402)</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(3,402)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(3,647)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Share-based</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compensation</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370</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Issuance of</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ordinary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net of</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offering costs</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7,142,858</w:t>
            </w:r>
          </w:p>
        </w:tc>
        <w:tc>
          <w:tcPr>
            <w:tcW w:w="46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99"/>
              </w:rPr>
              <w:t>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7"/>
                <w:szCs w:val="17"/>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41,630</w:t>
            </w:r>
          </w:p>
        </w:tc>
        <w:tc>
          <w:tcPr>
            <w:tcW w:w="16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41,631</w:t>
            </w:r>
          </w:p>
        </w:tc>
        <w:tc>
          <w:tcPr>
            <w:tcW w:w="10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4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Shares</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(2,805,067)</w:t>
            </w: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(13,771)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(13,771)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Foreign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currency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translation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right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58,988,351</w:t>
            </w: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46,659,565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1300" w:type="dxa"/>
            <w:vAlign w:val="bottom"/>
            <w:gridSpan w:val="3"/>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(3,005,067) $</w:t>
            </w: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236,560</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(198,789) $</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(2,966) $</w:t>
            </w: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34,816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54,798</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31, 2025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59,608,351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46,039,565</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(3,638,557)</w:t>
            </w: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233,014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(199,329)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(1,146)</w:t>
            </w: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32,550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58,132</w:t>
            </w:r>
          </w:p>
        </w:tc>
        <w:tc>
          <w:tcPr>
            <w:tcW w:w="1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90,682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60" w:type="dxa"/>
            <w:vAlign w:val="bottom"/>
            <w:gridSpan w:val="2"/>
            <w:vMerge w:val="continue"/>
          </w:tcPr>
          <w:p>
            <w:pPr>
              <w:spacing w:after="0"/>
              <w:rPr>
                <w:sz w:val="15"/>
                <w:szCs w:val="15"/>
                <w:color w:val="auto"/>
              </w:rPr>
            </w:pPr>
          </w:p>
        </w:tc>
        <w:tc>
          <w:tcPr>
            <w:tcW w:w="7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center"/>
              <w:ind w:left="602"/>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jc w:val="right"/>
              <w:ind w:right="22"/>
              <w:spacing w:after="0" w:line="183" w:lineRule="exact"/>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728</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728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832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1,560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Repurchase of</w:t>
            </w: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controlling</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(25)</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interests</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160" w:type="dxa"/>
            <w:vAlign w:val="bottom"/>
            <w:shd w:val="clear" w:color="auto" w:fill="CCEEFF"/>
          </w:tcPr>
          <w:p>
            <w:pPr>
              <w:spacing w:after="0"/>
              <w:rPr>
                <w:sz w:val="17"/>
                <w:szCs w:val="17"/>
                <w:color w:val="auto"/>
              </w:rPr>
            </w:pPr>
          </w:p>
        </w:tc>
        <w:tc>
          <w:tcPr>
            <w:tcW w:w="82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Foreign</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currency</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translation</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9"/>
                <w:szCs w:val="19"/>
                <w:color w:val="auto"/>
              </w:rPr>
            </w:pPr>
          </w:p>
        </w:tc>
        <w:tc>
          <w:tcPr>
            <w:tcW w:w="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967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Borders>
              <w:top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right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righ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righ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59,608,351</w:t>
            </w:r>
          </w:p>
        </w:tc>
        <w:tc>
          <w:tcPr>
            <w:tcW w:w="46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9"/>
              </w:rPr>
              <w:t>46,039,565</w:t>
            </w:r>
          </w:p>
        </w:tc>
        <w:tc>
          <w:tcPr>
            <w:tcW w:w="4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(3,638,557)</w:t>
            </w:r>
          </w:p>
        </w:tc>
        <w:tc>
          <w:tcPr>
            <w:tcW w:w="4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232,989</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(198,601)</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(1,227)</w:t>
            </w:r>
          </w:p>
        </w:tc>
        <w:tc>
          <w:tcPr>
            <w:tcW w:w="8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33,172</w:t>
            </w: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59,974</w:t>
            </w:r>
          </w:p>
        </w:tc>
        <w:tc>
          <w:tcPr>
            <w:tcW w:w="16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6" w:hanging="286"/>
        <w:spacing w:after="0"/>
        <w:tabs>
          <w:tab w:leader="none" w:pos="286"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of Treasury shares were less than one thousand dollars.</w:t>
      </w:r>
    </w:p>
    <w:p>
      <w:pPr>
        <w:spacing w:after="0" w:line="19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79" w:lineRule="exact"/>
        <w:rPr>
          <w:sz w:val="20"/>
          <w:szCs w:val="20"/>
          <w:color w:val="auto"/>
        </w:rPr>
      </w:pPr>
    </w:p>
    <w:p>
      <w:pPr>
        <w:jc w:val="center"/>
        <w:ind w:right="74"/>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010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346"/>
          </w:cols>
          <w:pgMar w:left="314" w:top="778" w:right="2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U.S. Dollar thousands, except for share and per share data, or otherwise noted)</w:t>
      </w:r>
    </w:p>
    <w:p>
      <w:pPr>
        <w:spacing w:after="0" w:line="174"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73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(loss)/income</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(3,647)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Adjustments to reconcile net (loss)/income to net cash (used in) provided by operating activities: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Provision/(Reversal) for credit losses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 of subsidiary</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property, software and equipment</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(benefit)/expense</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expense related to issuance of GEM Warrants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(8,754)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16,308</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(9,980)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4,926</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Tax payable</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Amount due to related parties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cash used in operating activities</w:t>
            </w: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(9,265</w:t>
            </w:r>
          </w:p>
        </w:tc>
        <w:tc>
          <w:tcPr>
            <w:tcW w:w="12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(7,936</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property, software and equipment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 of property, software and equipment</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short term investment</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non-controlling interests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other non-current assets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(2,723)</w:t>
            </w:r>
          </w:p>
        </w:tc>
        <w:tc>
          <w:tcPr>
            <w:tcW w:w="0" w:type="dxa"/>
            <w:vAlign w:val="bottom"/>
          </w:tcPr>
          <w:p>
            <w:pPr>
              <w:spacing w:after="0"/>
              <w:rPr>
                <w:sz w:val="1"/>
                <w:szCs w:val="1"/>
                <w:color w:val="auto"/>
              </w:rPr>
            </w:pPr>
          </w:p>
        </w:tc>
      </w:tr>
      <w:tr>
        <w:trPr>
          <w:trHeight w:val="21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short-term investment</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736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 net cash used in investing activities</w:t>
            </w:r>
          </w:p>
        </w:tc>
        <w:tc>
          <w:tcPr>
            <w:tcW w:w="132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(138</w:t>
            </w:r>
          </w:p>
        </w:tc>
        <w:tc>
          <w:tcPr>
            <w:tcW w:w="12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(2,764</w:t>
            </w:r>
          </w:p>
        </w:tc>
        <w:tc>
          <w:tcPr>
            <w:tcW w:w="120" w:type="dxa"/>
            <w:vAlign w:val="bottom"/>
            <w:tcBorders>
              <w:top w:val="single" w:sz="8" w:color="CCEEFF"/>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29,535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29,616</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Repayments of borrowings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(29,260)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(29,075)</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payables to a related party</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(4,998)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Shares repurchase</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(13,771)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for GEM litigation</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0" w:type="dxa"/>
            <w:vAlign w:val="bottom"/>
          </w:tcPr>
          <w:p>
            <w:pPr>
              <w:spacing w:after="0"/>
              <w:rPr>
                <w:sz w:val="1"/>
                <w:szCs w:val="1"/>
                <w:color w:val="auto"/>
              </w:rPr>
            </w:pPr>
          </w:p>
        </w:tc>
      </w:tr>
      <w:tr>
        <w:trPr>
          <w:trHeight w:val="203"/>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ordinary shares, net of issuance cost</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41,631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1"/>
        </w:trPr>
        <w:tc>
          <w:tcPr>
            <w:tcW w:w="7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cash provided by (used in) financing activities</w:t>
            </w:r>
          </w:p>
        </w:tc>
        <w:tc>
          <w:tcPr>
            <w:tcW w:w="13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23,137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188"/>
        </w:trPr>
        <w:tc>
          <w:tcPr>
            <w:tcW w:w="736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change in cash and restricted cash</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12,307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(11,310)</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 beginning of the period</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29,512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27,860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and restricted cash, end of the period</w:t>
            </w: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360" w:type="dxa"/>
            <w:vAlign w:val="bottom"/>
            <w:vMerge w:val="continue"/>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41,819</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16,550</w:t>
            </w:r>
          </w:p>
        </w:tc>
        <w:tc>
          <w:tcPr>
            <w:tcW w:w="0" w:type="dxa"/>
            <w:vAlign w:val="bottom"/>
          </w:tcPr>
          <w:p>
            <w:pPr>
              <w:spacing w:after="0"/>
              <w:rPr>
                <w:sz w:val="1"/>
                <w:szCs w:val="1"/>
                <w:color w:val="auto"/>
              </w:rPr>
            </w:pPr>
          </w:p>
        </w:tc>
      </w:tr>
      <w:tr>
        <w:trPr>
          <w:trHeight w:val="183"/>
        </w:trPr>
        <w:tc>
          <w:tcPr>
            <w:tcW w:w="736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restricted cash to the consolidated balance sheets:</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39,222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13,477</w:t>
            </w:r>
          </w:p>
        </w:tc>
        <w:tc>
          <w:tcPr>
            <w:tcW w:w="0" w:type="dxa"/>
            <w:vAlign w:val="bottom"/>
          </w:tcPr>
          <w:p>
            <w:pPr>
              <w:spacing w:after="0"/>
              <w:rPr>
                <w:sz w:val="1"/>
                <w:szCs w:val="1"/>
                <w:color w:val="auto"/>
              </w:rPr>
            </w:pPr>
          </w:p>
        </w:tc>
      </w:tr>
      <w:tr>
        <w:trPr>
          <w:trHeight w:val="199"/>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3,073</w:t>
            </w:r>
          </w:p>
        </w:tc>
        <w:tc>
          <w:tcPr>
            <w:tcW w:w="0" w:type="dxa"/>
            <w:vAlign w:val="bottom"/>
          </w:tcPr>
          <w:p>
            <w:pPr>
              <w:spacing w:after="0"/>
              <w:rPr>
                <w:sz w:val="1"/>
                <w:szCs w:val="1"/>
                <w:color w:val="auto"/>
              </w:rPr>
            </w:pPr>
          </w:p>
        </w:tc>
      </w:tr>
      <w:tr>
        <w:trPr>
          <w:trHeight w:val="23"/>
        </w:trPr>
        <w:tc>
          <w:tcPr>
            <w:tcW w:w="7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cash and restricted cash</w:t>
            </w:r>
          </w:p>
        </w:tc>
        <w:tc>
          <w:tcPr>
            <w:tcW w:w="1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73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41,819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16,550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Income tax paid</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paid</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188"/>
        </w:trPr>
        <w:tc>
          <w:tcPr>
            <w:tcW w:w="7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flow information:</w:t>
            </w: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60" w:type="dxa"/>
            <w:vAlign w:val="bottom"/>
          </w:tcPr>
          <w:p>
            <w:pPr>
              <w:spacing w:after="0"/>
              <w:rPr>
                <w:sz w:val="20"/>
                <w:szCs w:val="20"/>
                <w:color w:val="auto"/>
              </w:rPr>
            </w:pPr>
            <w:r>
              <w:rPr>
                <w:rFonts w:ascii="Times New Roman" w:cs="Times New Roman" w:eastAsia="Times New Roman" w:hAnsi="Times New Roman"/>
                <w:sz w:val="16"/>
                <w:szCs w:val="16"/>
                <w:color w:val="auto"/>
              </w:rPr>
              <w:t>Obtaining right-of-use assets in exchange for operating lease liabilities</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financing expense related to issuance of GEM Warrants</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6" w:name="page7"/>
    <w:bookmarkEnd w:id="6"/>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4" w:lineRule="exact"/>
        <w:rPr>
          <w:sz w:val="20"/>
          <w:szCs w:val="20"/>
          <w:color w:val="auto"/>
        </w:rPr>
      </w:pPr>
    </w:p>
    <w:p>
      <w:pPr>
        <w:ind w:left="282" w:hanging="282"/>
        <w:spacing w:after="0"/>
        <w:tabs>
          <w:tab w:leader="none" w:pos="282"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w:t>
      </w:r>
    </w:p>
    <w:p>
      <w:pPr>
        <w:spacing w:after="0" w:line="193"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Auto Services Group Limited (“SunCar”) was incorporated under the laws of the British Virgin Islands (“BVI”) on September 19, 2012 and continued in the Cayman Islands in accordance with applicable laws.</w:t>
      </w:r>
    </w:p>
    <w:p>
      <w:pPr>
        <w:spacing w:after="0" w:line="149" w:lineRule="exact"/>
        <w:rPr>
          <w:sz w:val="20"/>
          <w:szCs w:val="20"/>
          <w:color w:val="auto"/>
        </w:rPr>
      </w:pPr>
    </w:p>
    <w:p>
      <w:pPr>
        <w:jc w:val="both"/>
        <w:ind w:left="2"/>
        <w:spacing w:after="0" w:line="271" w:lineRule="auto"/>
        <w:rPr>
          <w:sz w:val="20"/>
          <w:szCs w:val="20"/>
          <w:color w:val="auto"/>
        </w:rPr>
      </w:pPr>
      <w:r>
        <w:rPr>
          <w:rFonts w:ascii="Times New Roman" w:cs="Times New Roman" w:eastAsia="Times New Roman" w:hAnsi="Times New Roman"/>
          <w:sz w:val="15"/>
          <w:szCs w:val="15"/>
          <w:color w:val="auto"/>
        </w:rPr>
        <w:t>On May 23, 2022, SunCar entered into the Agreement and Plan of Merger (“Merger Agreement”) with Goldenbridge Acquisition Limited (“Goldenbridge”), SunCar Technology Group Inc. (“SunCar Technology”, or the “Company”), and SunCar Technology Global Inc (the “Merger Sub”), a Cayman Islands exempted company and wholly owned subsidiary of SunCar Technology. Pursuant to the Merger Agreement, at the closing of the transactions (the “Business Combination”, or the “Transaction”) contemplated by the Merger Agreement (the “Closing”), (i) Goldenbridge was merged with and into SunCar Technology, with Goldenbridge ceasing to exist and SunCar Technology continuing as the surviving corporation; and (ii) the Merger Sub was merged with and into SunCar, with the Merger Sub ceasing to exist and SunCar continuing as the surviving company.</w:t>
      </w:r>
    </w:p>
    <w:p>
      <w:pPr>
        <w:spacing w:after="0" w:line="152"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The Company, through its wholly-owned subsidiaries (collectively, the “Group”) primarily engages in providing auto eInsurance service, technology service and auto service in the People’s Republic of China (“PRC” or “China”).</w:t>
      </w:r>
    </w:p>
    <w:p>
      <w:pPr>
        <w:spacing w:after="0" w:line="149"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6"/>
          <w:szCs w:val="16"/>
          <w:color w:val="auto"/>
        </w:rPr>
        <w:t>Sun Car Online Insurance Agency Co., Ltd. (“SunCar Online”) was incorporated under the laws of PRC on December 5, 2007, and along with its subsidiaries, constitutes the Group’s main operating entities in China.</w:t>
      </w:r>
    </w:p>
    <w:p>
      <w:pPr>
        <w:spacing w:after="0" w:line="1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Reverse recapitalization</w:t>
      </w:r>
    </w:p>
    <w:p>
      <w:pPr>
        <w:spacing w:after="0" w:line="195"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6"/>
          <w:szCs w:val="16"/>
          <w:color w:val="auto"/>
        </w:rPr>
        <w:t>On May 17, 2023 (the “Closing Date”), following the approval at a Special Meeting of the shareholders on April 14, 2023, Goldenbridge and SunCar Technology consummated the closing of the Transaction contemplated by the Merger Agreement. Following the consummation of the Transaction, Goldenbridge became a wholly-owned subsidiary of SunCar Technology, and all outstanding shares of Goldenbridge were converted into the right to receive shares of SunCar Technology. Goldenbridge ceased its existence. The combined company retained the name SunCar Technology.</w:t>
      </w:r>
    </w:p>
    <w:p>
      <w:pPr>
        <w:spacing w:after="0" w:line="163"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5"/>
          <w:szCs w:val="15"/>
          <w:color w:val="auto"/>
        </w:rPr>
        <w:t>SunCar was determined to be the accounting acquirer, as it effectively controlled the combined entity after the Transaction. The Transaction is not accounted for as a business combination because Goldenbridge did not meet the definition of a business. Instead, the Transaction is accounted for as a reverse recapitalization, which is equivalent to the issuance of shares by SunCar for the net monetary assets of the Company, accompanied by a recapitalization. Accordingly, SunCar is determined as the accounting acquirer, and its historical financial statements became the Company’s historical financial statements, with retrospective adjustments to give effect of the reverse recapitalization. All of the ordinary shares and convertible preferred shares of SunCar that were issued and outstanding immediately prior to the Transaction were cancelled and converted into an aggregate of 31,971,435 Class A ordinary shares and 49,628,565 Class B ordinary shares, which have been restated retrospectively to reflect the equity structure of the Company. The par value of ordinary shares changed from $0.00005 to $0.0001, the difference of $3 was adjusted retrospectively as in addition paid-in capital as of December 31, 2022.</w:t>
      </w:r>
    </w:p>
    <w:p>
      <w:pPr>
        <w:spacing w:after="0" w:line="34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5010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2"/>
          </w:cols>
          <w:pgMar w:left="318" w:top="778" w:right="319" w:bottom="1440" w:gutter="0" w:footer="0" w:header="0"/>
        </w:sectPr>
      </w:pPr>
    </w:p>
    <w:bookmarkStart w:id="7" w:name="page8"/>
    <w:bookmarkEnd w:id="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March 31, 2026, SunCar’s major subsidiaries are as follows:</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58"/>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2020" w:type="dxa"/>
            <w:vAlign w:val="bottom"/>
          </w:tcPr>
          <w:p>
            <w:pPr>
              <w:spacing w:after="0"/>
              <w:rPr>
                <w:sz w:val="24"/>
                <w:szCs w:val="24"/>
                <w:color w:val="auto"/>
              </w:rPr>
            </w:pPr>
          </w:p>
        </w:tc>
      </w:tr>
      <w:tr>
        <w:trPr>
          <w:trHeight w:val="188"/>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Date of</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Place of</w:t>
            </w:r>
          </w:p>
        </w:tc>
        <w:tc>
          <w:tcPr>
            <w:tcW w:w="136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5"/>
              </w:rPr>
              <w:t>Effective</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Principal</w:t>
            </w:r>
          </w:p>
        </w:tc>
      </w:tr>
      <w:tr>
        <w:trPr>
          <w:trHeight w:val="210"/>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Incorporation</w:t>
            </w:r>
          </w:p>
        </w:tc>
        <w:tc>
          <w:tcPr>
            <w:tcW w:w="1360" w:type="dxa"/>
            <w:vAlign w:val="bottom"/>
            <w:gridSpan w:val="2"/>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7"/>
              </w:rPr>
              <w:t>Ownership</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Activities</w:t>
            </w:r>
          </w:p>
        </w:tc>
      </w:tr>
      <w:tr>
        <w:trPr>
          <w:trHeight w:val="188"/>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Sun Car Online Insurance Agency Co., Ltd. (“SUNCAR Online”)</w:t>
            </w:r>
          </w:p>
        </w:tc>
        <w:tc>
          <w:tcPr>
            <w:tcW w:w="10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December 5, 2007</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2"/>
              </w:rPr>
              <w:t>PRC</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w:t>
            </w:r>
          </w:p>
        </w:tc>
        <w:tc>
          <w:tcPr>
            <w:tcW w:w="240" w:type="dxa"/>
            <w:vAlign w:val="bottom"/>
            <w:tcBorders>
              <w:top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Auto Insurance service</w:t>
            </w:r>
          </w:p>
        </w:tc>
      </w:tr>
      <w:tr>
        <w:trPr>
          <w:trHeight w:val="188"/>
        </w:trPr>
        <w:tc>
          <w:tcPr>
            <w:tcW w:w="5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Shanghai Feiyou Trading Co., Limited (“Shanghai Feiyou”)</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June 11, 2009</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2"/>
              </w:rPr>
              <w:t>PRC</w:t>
            </w:r>
          </w:p>
        </w:tc>
        <w:tc>
          <w:tcPr>
            <w:tcW w:w="136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100.00%</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Technology services</w:t>
            </w:r>
          </w:p>
        </w:tc>
      </w:tr>
      <w:tr>
        <w:trPr>
          <w:trHeight w:val="188"/>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Shanghai Xuanbei Automobile Service Co., Limited (“Shanghai Xuanbei”)</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April 26, 2018</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2"/>
              </w:rPr>
              <w:t>PRC</w:t>
            </w:r>
          </w:p>
        </w:tc>
        <w:tc>
          <w:tcPr>
            <w:tcW w:w="1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Auto service</w:t>
            </w:r>
          </w:p>
        </w:tc>
      </w:tr>
      <w:tr>
        <w:trPr>
          <w:trHeight w:val="171"/>
        </w:trPr>
        <w:tc>
          <w:tcPr>
            <w:tcW w:w="50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Shanghai Shengshi Dalian Automobile Service Co., Limited</w:t>
            </w:r>
          </w:p>
        </w:tc>
        <w:tc>
          <w:tcPr>
            <w:tcW w:w="180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color w:val="auto"/>
                <w:w w:val="98"/>
              </w:rPr>
              <w:t>June 8, 2013</w:t>
            </w:r>
          </w:p>
        </w:tc>
        <w:tc>
          <w:tcPr>
            <w:tcW w:w="1040" w:type="dxa"/>
            <w:vAlign w:val="bottom"/>
            <w:gridSpan w:val="2"/>
          </w:tcPr>
          <w:p>
            <w:pPr>
              <w:jc w:val="center"/>
              <w:ind w:right="120"/>
              <w:spacing w:after="0" w:line="171" w:lineRule="exact"/>
              <w:rPr>
                <w:sz w:val="20"/>
                <w:szCs w:val="20"/>
                <w:color w:val="auto"/>
              </w:rPr>
            </w:pPr>
            <w:r>
              <w:rPr>
                <w:rFonts w:ascii="Times New Roman" w:cs="Times New Roman" w:eastAsia="Times New Roman" w:hAnsi="Times New Roman"/>
                <w:sz w:val="16"/>
                <w:szCs w:val="16"/>
                <w:color w:val="auto"/>
                <w:w w:val="92"/>
              </w:rPr>
              <w:t>PRC</w:t>
            </w:r>
          </w:p>
        </w:tc>
        <w:tc>
          <w:tcPr>
            <w:tcW w:w="1360" w:type="dxa"/>
            <w:vAlign w:val="bottom"/>
            <w:gridSpan w:val="2"/>
          </w:tcPr>
          <w:p>
            <w:pPr>
              <w:jc w:val="right"/>
              <w:ind w:right="42"/>
              <w:spacing w:after="0" w:line="171" w:lineRule="exact"/>
              <w:rPr>
                <w:sz w:val="20"/>
                <w:szCs w:val="20"/>
                <w:color w:val="auto"/>
              </w:rPr>
            </w:pPr>
            <w:r>
              <w:rPr>
                <w:rFonts w:ascii="Times New Roman" w:cs="Times New Roman" w:eastAsia="Times New Roman" w:hAnsi="Times New Roman"/>
                <w:sz w:val="16"/>
                <w:szCs w:val="16"/>
                <w:color w:val="auto"/>
              </w:rPr>
              <w:t>84.54%</w:t>
            </w:r>
          </w:p>
        </w:tc>
        <w:tc>
          <w:tcPr>
            <w:tcW w:w="20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95"/>
              </w:rPr>
              <w:t>Auto service</w:t>
            </w:r>
          </w:p>
        </w:tc>
      </w:tr>
      <w:tr>
        <w:trPr>
          <w:trHeight w:val="203"/>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(“Shengda Automobile”)</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89"/>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Haiyan Trading (Shanghai) Co., Limited (“Haiyan”)</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November 22, 2012</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2"/>
              </w:rPr>
              <w:t>PRC</w:t>
            </w:r>
          </w:p>
        </w:tc>
        <w:tc>
          <w:tcPr>
            <w:tcW w:w="13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100.00%</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Holding company</w:t>
            </w:r>
          </w:p>
        </w:tc>
      </w:tr>
    </w:tbl>
    <w:p>
      <w:pPr>
        <w:spacing w:after="0" w:line="171" w:lineRule="exact"/>
        <w:rPr>
          <w:sz w:val="20"/>
          <w:szCs w:val="20"/>
          <w:color w:val="auto"/>
        </w:rPr>
      </w:pPr>
    </w:p>
    <w:p>
      <w:pPr>
        <w:jc w:val="both"/>
        <w:ind w:left="282" w:right="20" w:hanging="282"/>
        <w:spacing w:after="0" w:line="253" w:lineRule="auto"/>
        <w:tabs>
          <w:tab w:leader="none" w:pos="28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18, 2025, the People’s Court of Songjiang District, Shanghai, issued a judgment to revoke, within the amount of the creditor’s rights confirmed in the civil mediation agreement in favor of the plaintiff, the equity transfer of SunCar Online by the defendant, Zhejiang Shengling Automotive Service Co., Ltd. (formerly known as Shengda Automobile Service Group Co. Limited, or “Shengda Group”), to Shanghai Feiyou, and ordered the restoration of the equity ownership. Shanghai Feiyou subsequently filed an appeal against the judgment.</w:t>
      </w:r>
    </w:p>
    <w:p>
      <w:pPr>
        <w:spacing w:after="0" w:line="163" w:lineRule="exact"/>
        <w:rPr>
          <w:sz w:val="20"/>
          <w:szCs w:val="20"/>
          <w:color w:val="auto"/>
        </w:rPr>
      </w:pPr>
    </w:p>
    <w:p>
      <w:pPr>
        <w:jc w:val="both"/>
        <w:ind w:left="282" w:right="20"/>
        <w:spacing w:after="0" w:line="251" w:lineRule="auto"/>
        <w:rPr>
          <w:sz w:val="20"/>
          <w:szCs w:val="20"/>
          <w:color w:val="auto"/>
        </w:rPr>
      </w:pPr>
      <w:r>
        <w:rPr>
          <w:rFonts w:ascii="Times New Roman" w:cs="Times New Roman" w:eastAsia="Times New Roman" w:hAnsi="Times New Roman"/>
          <w:sz w:val="16"/>
          <w:szCs w:val="16"/>
          <w:color w:val="auto"/>
        </w:rPr>
        <w:t>On October 31, 2025, the People’s Court upheld the original judgement. Considering the amount of the plaintiff’s claim against Shengda Group, Shanghai Feiyou’s equity interest in SunCar Online was reduced from 55.34% to 48.01% as of March 31, 2026. According to concerted action arrangements between Shanghai Feiyou and other shareholders, which still collectively hold an aggregate equity interest of 51.06% in SunCar Online, the Group believes that the outcome of this dispute will not affect Shanghai Feiyou’s effective control over SunCar Online. As of the issuance date of the unaudited condensed consolidated financial statements, the judgment has not yet been enforced.</w:t>
      </w:r>
    </w:p>
    <w:p>
      <w:pPr>
        <w:spacing w:after="0" w:line="162" w:lineRule="exact"/>
        <w:rPr>
          <w:sz w:val="20"/>
          <w:szCs w:val="20"/>
          <w:color w:val="auto"/>
        </w:rPr>
      </w:pPr>
    </w:p>
    <w:p>
      <w:pPr>
        <w:ind w:left="282" w:hanging="282"/>
        <w:spacing w:after="0"/>
        <w:tabs>
          <w:tab w:leader="none" w:pos="282"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 Basis of presentation</w:t>
      </w:r>
    </w:p>
    <w:p>
      <w:pPr>
        <w:spacing w:after="0" w:line="195"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16"/>
          <w:szCs w:val="16"/>
          <w:color w:val="auto"/>
        </w:rPr>
        <w:t>The accompanying consolidated financial statements are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Unaudited interim results are not necessarily indicative of the results for the full fiscal year. The accompanying unaudited condensed financial statements should be read in conjunction with the audited consolidated financial statements and accompanying notes for the years ended December 31, 2024 and 2025.</w:t>
      </w:r>
    </w:p>
    <w:p>
      <w:pPr>
        <w:spacing w:after="0" w:line="164"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include the financial statements of the Company and its subsidiaries. All intercompany transactions and balances among the Company and its subsidiaries have been eliminated upon consolidation. A subsidiary is an entity in which (i) the Company directly or indirectly controls more than 50% of the voting power; or (ii) the Company has the power to appoint or remove the majority of the members of the board of directors or to cast a majority of votes at the meetings of the board of directors or to govern the financial and operating activities.</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(b). Use of estimates</w:t>
      </w:r>
    </w:p>
    <w:p>
      <w:pPr>
        <w:spacing w:after="0" w:line="195" w:lineRule="exact"/>
        <w:rPr>
          <w:sz w:val="20"/>
          <w:szCs w:val="20"/>
          <w:color w:val="auto"/>
        </w:rPr>
      </w:pPr>
    </w:p>
    <w:p>
      <w:pPr>
        <w:jc w:val="both"/>
        <w:ind w:left="2"/>
        <w:spacing w:after="0" w:line="249" w:lineRule="auto"/>
        <w:rPr>
          <w:sz w:val="20"/>
          <w:szCs w:val="20"/>
          <w:color w:val="auto"/>
        </w:rPr>
      </w:pPr>
      <w:r>
        <w:rPr>
          <w:rFonts w:ascii="Times New Roman" w:cs="Times New Roman" w:eastAsia="Times New Roman" w:hAnsi="Times New Roman"/>
          <w:sz w:val="16"/>
          <w:szCs w:val="16"/>
          <w:color w:val="auto"/>
        </w:rPr>
        <w:t>The preparation of the unaudited condensed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unaudited condensed consolidated financial statements and accompanying notes. Significant accounting estimates include, but not limited to, the allowance for credit losses, useful lives and impairment of long-lived assets, share-based compensation, long-term investment, valuation allowances of deferred tax assets, and warrant liabilities. Changes in facts and circumstances may result in revised estimates. Actual results could differ from those estimates, and as such, differences may be material to the unaudited condensed consolidated financial statements.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5010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2"/>
          </w:cols>
          <w:pgMar w:left="318" w:top="77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Accounts receivable, net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Accounts receivable are recorded at the gross billing amount less an allowance for any uncollectible accounts due from the customers. Accounts receivable do not bear interest.</w:t>
      </w:r>
    </w:p>
    <w:p>
      <w:pPr>
        <w:spacing w:after="0" w:line="1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Since January 1, 2022, the Company adopted Accounting Standards Update (“ASU”) No. 2016-13, Financial Instruments-Credit Losses (Topic 326): Measurement of Credit Losses on Financial Instruments (“ASU 2016-13”), using the modified retrospective transition method. ASU 2016-13 replaces the existing incurred loss impairment model with an expected loss methodology, which will result in more timely recognition of credit losses. Upon adoption, the Company changed the impairment model to utilize a forward-looking current expected credit losses (CECL) model in place of the incurred loss methodology for financial instruments measured at amortized cost and receivables resulting from the application of ASC 606, including contract assets.</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Group recognizes a provision for credit losses and records the corresponding allowance for credit losses as an offset against accounts receivable. The provision for credit losses is classified as “General and administrative expenses” in the unaudited condensed consolidated statements of comprehensive income. The Group assesses collectability by reviewing accounts receivable on a collective basis where similar characteristics exist, primarily based on similar business lines, and on an individual basis when the Group identifies specific customers with known disputes or collectability issues. In determining the amount of the allowance for credit losses, the Group considers historical collectability based on past due status, the age of the balances, current economic conditions, reasonable and supportable forecasts of future economic conditions, and other factors that may affect the Group’s ability to collect from customers. Delinquent account balances are written-off against the allowance for expected credit loss.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Warrant</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Group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Private Warrants was estimated using a Black-Scholes model.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Fair value measurement</w:t>
      </w:r>
    </w:p>
    <w:p>
      <w:pPr>
        <w:spacing w:after="0" w:line="1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Accounting guidance defines fair value as the price that would be received from selling an asset or paid to transfer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 are:</w:t>
      </w:r>
    </w:p>
    <w:p>
      <w:pPr>
        <w:spacing w:after="0" w:line="160" w:lineRule="exact"/>
        <w:rPr>
          <w:sz w:val="20"/>
          <w:szCs w:val="20"/>
          <w:color w:val="auto"/>
        </w:rPr>
      </w:pPr>
    </w:p>
    <w:p>
      <w:pPr>
        <w:ind w:left="560" w:hanging="280"/>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1—Observable inputs that reflect quoted prices (unadjusted) for identical assets or liabilities in active markets.</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2—Include other inputs that are directly or indirectly observable in the marketplace.</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3—Unobservable inputs which are supported by little or no market activity.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Financial assets and liabilities of the Group primarily consist of cash, accounts receivable, short-term investments, other receivables included in prepayments and other current assets, long-term investment, short-term borrowings, accounts payable, other payables included in accrued expenses and other current liabilities, and warrant liabilities. As of December 31, 2025 and March 31, 2026, the carrying amounts of other financial instruments approximated to their fair values due to the short-term maturity of these instruments. The warrant liabilities were measured at fair value using unobservable inputs and categorized in Level 3 of the fair value hierarchy.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Group’s non-financial assets, such as software and equipment, would be measured at fair value only if they were determined to be impaired.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 Revenue recognition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Group’s revenues are mainly generated from providing auto eInsurance service, technology service and auto service.</w:t>
      </w:r>
    </w:p>
    <w:p>
      <w:pPr>
        <w:spacing w:after="0" w:line="1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The Group recognizes revenue pursuant to ASC 606, Revenue from Contracts with Customers (“ASC 606”). In accordance with ASC 606, revenues from contracts with customers are recognized when control of the promised goods or services is transferred to the Group’s customers, in an amount that reflects the consideration the Group expects to be entitled to in exchange for those goods or services, reduced by Value Added Tax (“VAT”). To achieve the core principle of this standard, we applied the following five steps:</w:t>
      </w:r>
    </w:p>
    <w:p>
      <w:pPr>
        <w:spacing w:after="0" w:line="143" w:lineRule="exact"/>
        <w:rPr>
          <w:sz w:val="20"/>
          <w:szCs w:val="20"/>
          <w:color w:val="auto"/>
        </w:rPr>
      </w:pPr>
    </w:p>
    <w:p>
      <w:pPr>
        <w:ind w:left="560" w:hanging="285"/>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or contracts, with the customer;</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 and</w:t>
      </w:r>
    </w:p>
    <w:p>
      <w:pPr>
        <w:spacing w:after="0" w:line="191" w:lineRule="exact"/>
        <w:rPr>
          <w:rFonts w:ascii="Times New Roman" w:cs="Times New Roman" w:eastAsia="Times New Roman" w:hAnsi="Times New Roman"/>
          <w:sz w:val="16"/>
          <w:szCs w:val="16"/>
          <w:color w:val="auto"/>
        </w:rPr>
      </w:pPr>
    </w:p>
    <w:p>
      <w:pPr>
        <w:ind w:left="560" w:hanging="280"/>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the revenue when, or as, a performance obligation is satisfied.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Auto eInsurance Service</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The Group provides insurance intermediation services by distributing primarily vehicle insurance on behalf of insurance companies and charges them commissions based on a percentage of premiums paid by the insured. In accordance with ASC 606-10-25-14 and 25-19, the Group identifies the insurance intermediation service as a single performance obligation. The Group has determined that this service is distinct as: (i) the insurance companies (the customers) can benefit from the distribution service on its own through the successful execution of insurance policies and the resulting premium inflows; and (ii) the Group’s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the Group.</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Revenue is recognized at a point in time when an insurance policy becomes effective, which occurs when the signed insurance policy is in place and the premium is collected from the insured. Although the Group’s efforts are performed when the policy is sold, the criteria for contract identification under ASC 606-10-25-19 are only satisfied when the premium is received. Prior to this point, the collectability of the commission is not considered probable. Accordingly, the Group does not accrue any commission revenue prior to reperceiving related premiums. No allowance for cancellation is provided as historical cancellations have been rare and immaterial.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versus Agent Assessment:</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accordance with ASC 606-10-55-37A and 55-39, the Group has determined that it acts as an agent in these transactions. The Group does not control the insurance policy before it is transferred to the insured. Specifically: (i) the insurance companies, not the Group, are primarily responsible for fulfilling the insurance coverage to the insured; (ii) the Group does not bear any inventory risk related to the insurance policies ; and (iii) the Group has no discretion in establishing the insurance premiums, which are set by the insurance companies. Therefore, revenue is recognized on a net basis in the amount of commission to which the Group is entitled.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Technology service</w:t>
      </w:r>
    </w:p>
    <w:p>
      <w:pPr>
        <w:spacing w:after="0" w:line="19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Group provides technology services including technical software and consulting related to automobile services and insurance, such as customer relationship management (CRM), order management, finance management and visual analysis systems.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accordance with ASC 606-10-25-14 and 25-19, the Group identifies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the Group's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The Group satisfies its performance obligation over time during the service period because the customer simultaneously receives and consumes the benefits as the Group provides access and support. Revenue is recognized on a straight-line basis over the contractual term, typically charged at a fixed price per month. The transaction price is allocated entirely to this single combined performance obligation. The Group does not have significant variable considerations, and the payment terms generally require monthly settlement, which does not involve a significant financing component.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versus Agent Assessment:</w:t>
      </w:r>
    </w:p>
    <w:p>
      <w:pPr>
        <w:spacing w:after="0" w:line="19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6"/>
          <w:szCs w:val="16"/>
          <w:color w:val="auto"/>
        </w:rPr>
        <w:t>In accordance with ASC 606-10-55-37A and 55-39, the Group has determined it acts as the principal in these transactions. The Group controls the technical software and consulting services before they are transferred to the customer. This is evidenced by the fact that: (i) the Group is primarily responsible for fulfilling the promise to provide the integrated system and ensure its functionality; (ii) the Group owns the intellectual property of the software and bears the risk of service delivery; and (iii) the Group has full discretion in establishing the price for the services.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Auto service</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The Group defines enterprise customers as the Group’s customers and the Group sells auto service coupons to enterprise customers, which each coupon represents one specific auto service. There are various service types including vehicle washing, waxing, maintenance, driving service and road assistance, and the Group only provides one specific service among various service types for each specific service coupon. The Group identifies each specific service coupon as a contract that establishes enforceable rights and obligations for each party. The Group charges the service fee at a fixed price per service when the service is performed. For service coupons with limited duration, the Group either charges the service fee at a fixed price per service when the service is performed or when the coupon expires, whether or not the service has been performed. The Group considers each service coupon is a distinct service that is capable of providing a benefit to the customer on its own according to ASC 606-10-25-14(a). Therefore, the Group identifies only one performance obligation under a contract, which is to provide a specific service or to stand-ready to perform a specific service within a limited duration. The Group acts as a principal as the Group controls the right to services before the services are provided to customers, and the Group has the ability to direct other parties to provide the services to customers on the Group’s behalf. Specifically, the Group has the ability to choose service providers, is primarily responsible for the acceptability for the service meeting customer specifications, bears inventory risk after transfer of control of services to customers and has the discretion in establishing the price with customers and with service providers and bears credit risk. The Group recognizes revenue in the gross amount of consideration at the point of time when the service is provided, or when the service coupon expires. The Group does not provide refunds to customers when a coupon has expired but is not used.</w:t>
      </w:r>
    </w:p>
    <w:p>
      <w:pPr>
        <w:sectPr>
          <w:pgSz w:w="11900" w:h="16838" w:orient="portrait"/>
          <w:cols w:equalWidth="0" w:num="1">
            <w:col w:w="11260"/>
          </w:cols>
          <w:pgMar w:left="320" w:top="778" w:right="319" w:bottom="1440" w:gutter="0" w:footer="0" w:header="0"/>
        </w:sectPr>
      </w:pP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Group’s revenues are disaggregated by timing of revenue recognition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recognized at a point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Revenue recognized over time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150100" cy="14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Contract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4"/>
                <w:szCs w:val="14"/>
                <w:color w:val="auto"/>
              </w:rPr>
            </w:pPr>
          </w:p>
        </w:tc>
      </w:tr>
      <w:tr>
        <w:trPr>
          <w:trHeight w:val="199"/>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91,930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115,885</w:t>
            </w: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15,283</w:t>
            </w:r>
          </w:p>
        </w:tc>
      </w:tr>
      <w:tr>
        <w:trPr>
          <w:trHeight w:val="191"/>
        </w:trPr>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102,595</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131,168</w:t>
            </w:r>
          </w:p>
        </w:tc>
        <w:tc>
          <w:tcPr>
            <w:tcW w:w="20" w:type="dxa"/>
            <w:vAlign w:val="bottom"/>
            <w:tcBorders>
              <w:top w:val="single" w:sz="8" w:color="auto"/>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546" w:lineRule="exact"/>
        <w:rPr>
          <w:sz w:val="20"/>
          <w:szCs w:val="20"/>
          <w:color w:val="auto"/>
        </w:rPr>
      </w:pPr>
    </w:p>
    <w:p>
      <w:pPr>
        <w:sectPr>
          <w:pgSz w:w="11900" w:h="16838" w:orient="portrait"/>
          <w:cols w:equalWidth="0" w:num="2">
            <w:col w:w="7960" w:space="720"/>
            <w:col w:w="2580"/>
          </w:cols>
          <w:pgMar w:left="320" w:top="778" w:right="319" w:bottom="1440" w:gutter="0" w:footer="0" w:header="0"/>
          <w:type w:val="continuous"/>
        </w:sectPr>
      </w:pPr>
    </w:p>
    <w:p>
      <w:pPr>
        <w:jc w:val="both"/>
        <w:spacing w:after="0" w:line="257" w:lineRule="auto"/>
        <w:rPr>
          <w:sz w:val="20"/>
          <w:szCs w:val="20"/>
          <w:color w:val="auto"/>
        </w:rPr>
      </w:pPr>
      <w:r>
        <w:rPr>
          <w:rFonts w:ascii="Times New Roman" w:cs="Times New Roman" w:eastAsia="Times New Roman" w:hAnsi="Times New Roman"/>
          <w:sz w:val="16"/>
          <w:szCs w:val="16"/>
          <w:color w:val="auto"/>
        </w:rPr>
        <w:t>Timing of revenue recognition may differ from the timing of invoicing to customers. Accounts receivable represent revenue recognized for the amounts invoiced and/or prior to invoicing when the Group has satisfied its performance obligation and has an unconditional right to payment. Contract assets represent the Group’s right to consideration in exchange for goods or services that the Group has transferred to a customer. The Group has no contract assets as of December 31, 2025 and March 31, 2026.</w:t>
      </w:r>
    </w:p>
    <w:p>
      <w:pPr>
        <w:spacing w:after="0" w:line="16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contract liabilities consist of deferred revenue, which represents the billings or cash received for services in advance of revenue recognition and is recognized as revenue the performance obligation is satisfied. The Group expects to recognize this balance as revenue over the next 12 months. The table below presents the activity of contract liabilities for the three months ended March 31, 2025 and 2026, respectively:</w:t>
      </w:r>
    </w:p>
    <w:p>
      <w:pPr>
        <w:spacing w:after="0" w:line="158"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Opening balance</w:t>
            </w:r>
          </w:p>
        </w:tc>
        <w:tc>
          <w:tcPr>
            <w:tcW w:w="4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5,730</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Advance receive from customers</w:t>
            </w:r>
          </w:p>
        </w:tc>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5,501</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recognition during the period</w:t>
            </w:r>
          </w:p>
        </w:tc>
        <w:tc>
          <w:tcPr>
            <w:tcW w:w="4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(5,127)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4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3,534</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6,104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39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gridSpan w:val="2"/>
          </w:tcPr>
          <w:p>
            <w:pPr>
              <w:jc w:val="right"/>
              <w:ind w:right="3040"/>
              <w:spacing w:after="0"/>
              <w:rPr>
                <w:sz w:val="20"/>
                <w:szCs w:val="20"/>
                <w:color w:val="auto"/>
              </w:rPr>
            </w:pPr>
            <w:r>
              <w:rPr>
                <w:rFonts w:ascii="Times New Roman" w:cs="Times New Roman" w:eastAsia="Times New Roman" w:hAnsi="Times New Roman"/>
                <w:sz w:val="16"/>
                <w:szCs w:val="16"/>
                <w:color w:val="auto"/>
              </w:rPr>
              <w:t>F-11</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78" w:right="31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 Foreign currency transactions and translations</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Group’s principal country of operations is the PRC. The financial position and results of its operations are determined using RMB, the local currency, as the functional currency. The Group’s financial statements are reported using U.S. Dollars (“$”). The results of operations and the unaudited condensed consolidated statements of cash flows denominated in foreign currency are translated at the average rate of exchange during the reporting period. Assets and liabilities denominated in foreign currencies at the balance sheet date are translated at the applicable rates of exchange in effect at that date. The equity denominated in the functional currency is translated at the historical rate of exchange at the time of capital contribution. Because cash flows are translated based on the average translation rate, amounts related to assets and liabilities reported on the unaudited condensed consolidated statements of cash flows will not necessarily agree with changes in the corresponding balances on the unaudited condensed consolidated balance sheets. Translation adjustments arising from the use of different exchange rates from period to period are included as a separate component of accumulated other comprehensive (loss) income included in unaudited condensed consolidated statements of changes in equity. Gains and losses from foreign currency transactions are included in the results of operations.</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6"/>
          <w:szCs w:val="16"/>
          <w:color w:val="auto"/>
        </w:rPr>
        <w:t>The value of RMB against $ and other currencies may fluctuate and is affected by, among other things, changes in the PRC’s political and economic conditions. Any significant revaluation of RMB may materially affect the Group’s financial condition in terms of $ reporting. The following table outlines the currency exchange rates that were used in creating the unaudited condensed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8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86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86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Borders>
              <w:bottom w:val="single" w:sz="8" w:color="CCEEFF"/>
            </w:tcBorders>
          </w:tcPr>
          <w:p>
            <w:pPr>
              <w:spacing w:after="0"/>
              <w:rPr>
                <w:sz w:val="18"/>
                <w:szCs w:val="18"/>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sheet items, except for equity accounts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6.9931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120" w:type="dxa"/>
            <w:vAlign w:val="bottom"/>
            <w:shd w:val="clear" w:color="auto" w:fill="CCEEFF"/>
          </w:tcPr>
          <w:p>
            <w:pPr>
              <w:spacing w:after="0"/>
              <w:rPr>
                <w:sz w:val="16"/>
                <w:szCs w:val="16"/>
                <w:color w:val="auto"/>
              </w:rPr>
            </w:pPr>
          </w:p>
        </w:tc>
      </w:tr>
      <w:tr>
        <w:trPr>
          <w:trHeight w:val="357"/>
        </w:trPr>
        <w:tc>
          <w:tcPr>
            <w:tcW w:w="8680" w:type="dxa"/>
            <w:vAlign w:val="bottom"/>
          </w:tcPr>
          <w:p>
            <w:pPr>
              <w:spacing w:after="0"/>
              <w:rPr>
                <w:sz w:val="24"/>
                <w:szCs w:val="24"/>
                <w:color w:val="auto"/>
              </w:rPr>
            </w:pPr>
          </w:p>
        </w:tc>
        <w:tc>
          <w:tcPr>
            <w:tcW w:w="2580" w:type="dxa"/>
            <w:vAlign w:val="bottom"/>
            <w:gridSpan w:val="4"/>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For the three months ended</w:t>
            </w:r>
          </w:p>
        </w:tc>
      </w:tr>
      <w:tr>
        <w:trPr>
          <w:trHeight w:val="210"/>
        </w:trPr>
        <w:tc>
          <w:tcPr>
            <w:tcW w:w="8680" w:type="dxa"/>
            <w:vAlign w:val="bottom"/>
          </w:tcPr>
          <w:p>
            <w:pPr>
              <w:spacing w:after="0"/>
              <w:rPr>
                <w:sz w:val="18"/>
                <w:szCs w:val="18"/>
                <w:color w:val="auto"/>
              </w:rPr>
            </w:pPr>
          </w:p>
        </w:tc>
        <w:tc>
          <w:tcPr>
            <w:tcW w:w="25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03"/>
        </w:trPr>
        <w:tc>
          <w:tcPr>
            <w:tcW w:w="86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Borders>
              <w:bottom w:val="single" w:sz="8" w:color="CCEEFF"/>
            </w:tcBorders>
          </w:tcPr>
          <w:p>
            <w:pPr>
              <w:spacing w:after="0"/>
              <w:rPr>
                <w:sz w:val="17"/>
                <w:szCs w:val="17"/>
                <w:color w:val="auto"/>
              </w:rPr>
            </w:pPr>
          </w:p>
        </w:tc>
      </w:tr>
      <w:tr>
        <w:trPr>
          <w:trHeight w:val="188"/>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Items in the statements of operations and comprehensive loss, and statements of cash flows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7.2728</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6.9218</w:t>
            </w:r>
          </w:p>
        </w:tc>
        <w:tc>
          <w:tcPr>
            <w:tcW w:w="120" w:type="dxa"/>
            <w:vAlign w:val="bottom"/>
            <w:shd w:val="clear" w:color="auto" w:fill="CCEEFF"/>
          </w:tcPr>
          <w:p>
            <w:pPr>
              <w:spacing w:after="0"/>
              <w:rPr>
                <w:sz w:val="16"/>
                <w:szCs w:val="16"/>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representation is made that the RMB amounts could have been, or could be, converted into U.S. dollars at the rates used in translation.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 Recent accounting pronouncements</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Group is an “emerging growth company” (“EGC”) as defined in the Jumpstart Our Business Startups Act of 2012 (the “JOBS Act”). Under the JOBS Act, EGC can delay adopting new or revised accounting standards issued subsequent to the enactment of the JOBS Act until such time as those standards apply to private companies.</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December 2023, the FASB issued ASU 2023-09, Improvement to Income Tax Disclosure. This standard requires more transparency about income tax information through improvements to income tax disclosures primarily related to the rate reconciliation and income taxes paid information. This standard also includes certain other amendments to improve the effectiveness of income tax disclosures. ASU 2023-09 is effective for public business entities, for annual periods beginning after December 15, 2024. For entities other than public business entities, the amendments are effective for annual periods beginning after December 15, 2025. The Group is in the process of evaluation the impact of adopting this new guidance on its consolidated financial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The Group is currently evaluating the impact that the adoption of these standards will have on its consolidated financial statements and disclosures.</w:t>
      </w:r>
    </w:p>
    <w:p>
      <w:pPr>
        <w:spacing w:after="0" w:line="16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November 2024, the FASB issued ASU 2024-04, Debt–Debt with Conversion and Other Options (Subtopic 470-20): Induced Conversion of Convertible Debt Instruments (“ASU 2024–04”), which clarifies the requirements for determining whether certain settlements of convertible debt instruments should be accounted for as an induced conversion. ASU 2024-04 is effective for annual reporting periods beginning after December 15, 2025, and interim reporting periods within those annual reporting periods. Early adoption is permitted for all entities that have adopted the amendments in Update 2020-06. The Group is in the process of evaluation the impact of adopting this new guidance on its consolidated financial statement.</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color w:val="auto"/>
        </w:rPr>
        <w:t>In July 2025, the FASB issued ASU 2025-05, Financial Instruments—Credit Losses (Topic 326): Measurement of Credit Losses for Accounts Receivable and Contract Assets (“ASU 2025-05”), which provides a practical expedient for all entities in estimating expected credit losses for current accounts receivable and current contract assets arising from transactions accounted for under Topic 606. ASU 2025-05 is effective for annual reporting periods beginning after December 15, 2025, and interim reporting periods within those annual reporting periods, with early adoption permitted. The Group is currently evaluating the impact of the adoption of ASU 2025-05 on its consolidated financial statements.</w:t>
      </w:r>
    </w:p>
    <w:p>
      <w:pPr>
        <w:spacing w:after="0" w:line="14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In September 2025, the FASB issued ASU 2025-06, Intangibles—Goodwill and Other—Internal-Use Software (Subtopic 350-40), which simplifies the accounting for internal-use software by eliminating the requirement to apply a staged approach to software development and introducing a principles-based capitalization model. Under the new guidance, capitalization of internal-use software costs begins when management authorizes and commits to funding the project and it is probable that the project will be completed and the software will be used as intended. The amendments also enhance disclosure requirements, including information about capitalized software costs, significant judgments applied in determining capitalization, and details of major software projects. The guidance is effective for annual periods beginning after December 15, 2027, with early adoption permitted. The Group is currently evaluating the impact of the adoption of this guidance on its consolidated financial statements.</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6"/>
          <w:szCs w:val="16"/>
          <w:color w:val="auto"/>
        </w:rPr>
        <w:t>In December 2025, the FASB issued ASU 2025-12, “Codification Improvements.” The amendments in this Update represent changes to clarify the Codification or correct unintended application of guidance and apply to all reporting entities within the scope of the affected accounting guidance. These amendments are effective for annual reporting periods beginning after December 15, 2026, and interim reporting periods within those annual reporting periods. Early adoption is permitted. The Group is currently evaluating the impact of the adoption of this guidance on its consolidated financial statements.</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14" w:name="page15"/>
    <w:bookmarkEnd w:id="14"/>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4" w:lineRule="exact"/>
        <w:rPr>
          <w:sz w:val="20"/>
          <w:szCs w:val="20"/>
          <w:color w:val="auto"/>
        </w:rPr>
      </w:pPr>
    </w:p>
    <w:p>
      <w:pPr>
        <w:ind w:left="286" w:hanging="286"/>
        <w:spacing w:after="0"/>
        <w:tabs>
          <w:tab w:leader="none" w:pos="286"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SEGMENT INFORMATION</w:t>
      </w:r>
    </w:p>
    <w:p>
      <w:pPr>
        <w:spacing w:after="0" w:line="19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CODM reviews financial information of operating segments based on internal management reports when making decisions about allocating resources and assessing the performance of the Group. As a result of the assessment made by CODM, the Group has four reportable segments for continuing operations, including auto eInsurance business, technology service and auto service business. The Group’s CODM evaluates performance based on the operating segment’s revenue and their operating results. The revenue and operating results by segments were as follows:</w:t>
      </w:r>
    </w:p>
    <w:p>
      <w:pPr>
        <w:spacing w:after="0" w:line="172"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10"/>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9"/>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6"/>
                <w:szCs w:val="16"/>
                <w:b w:val="1"/>
                <w:bCs w:val="1"/>
                <w:color w:val="auto"/>
                <w:w w:val="94"/>
              </w:rPr>
              <w:t>Auto</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eInsurance</w:t>
            </w: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Technology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Auto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188"/>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45,927</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10,665</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46,003</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102,595</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Integrated service cost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(42,130)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(48,422)</w:t>
            </w: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Promotional service and selling expenses</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(45,464)</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(50,788)</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(1,230)</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(1,405)</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(5,420)</w:t>
            </w: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(923)</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(46,924)</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(12,053)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(45,566)</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(1,010)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(105,553)</w:t>
            </w:r>
          </w:p>
        </w:tc>
      </w:tr>
      <w:tr>
        <w:trPr>
          <w:trHeight w:val="223"/>
        </w:trPr>
        <w:tc>
          <w:tcPr>
            <w:tcW w:w="4620" w:type="dxa"/>
            <w:vAlign w:val="bottom"/>
          </w:tcPr>
          <w:p>
            <w:pPr>
              <w:spacing w:after="0" w:line="223" w:lineRule="exact"/>
              <w:rPr>
                <w:sz w:val="20"/>
                <w:szCs w:val="20"/>
                <w:color w:val="auto"/>
              </w:rPr>
            </w:pPr>
            <w:r>
              <w:rPr>
                <w:rFonts w:ascii="Times New Roman" w:cs="Times New Roman" w:eastAsia="Times New Roman" w:hAnsi="Times New Roman"/>
                <w:sz w:val="15"/>
                <w:szCs w:val="15"/>
                <w:b w:val="1"/>
                <w:bCs w:val="1"/>
                <w:color w:val="auto"/>
              </w:rPr>
              <w:t xml:space="preserve">Total other income (expenses), net </w:t>
            </w:r>
            <w:r>
              <w:rPr>
                <w:rFonts w:ascii="Times New Roman" w:cs="Times New Roman" w:eastAsia="Times New Roman" w:hAnsi="Times New Roman"/>
                <w:sz w:val="25"/>
                <w:szCs w:val="25"/>
                <w:b w:val="1"/>
                <w:bCs w:val="1"/>
                <w:color w:val="auto"/>
                <w:vertAlign w:val="superscript"/>
              </w:rPr>
              <w:t>(1)</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56</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(773)</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loss before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(941)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(1,461)</w:t>
            </w: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(208)</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(1,121)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(3,731)</w:t>
            </w:r>
          </w:p>
        </w:tc>
      </w:tr>
      <w:tr>
        <w:trPr>
          <w:trHeight w:val="391"/>
        </w:trPr>
        <w:tc>
          <w:tcPr>
            <w:tcW w:w="4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2026</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9"/>
        </w:trPr>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6"/>
                <w:szCs w:val="16"/>
                <w:b w:val="1"/>
                <w:bCs w:val="1"/>
                <w:color w:val="auto"/>
                <w:w w:val="94"/>
              </w:rPr>
              <w:t>Auto</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8"/>
        </w:trPr>
        <w:tc>
          <w:tcPr>
            <w:tcW w:w="4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eInsurance</w:t>
            </w: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5"/>
              </w:rPr>
              <w:t>Technology</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Auto</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4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14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service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97"/>
              </w:rPr>
              <w:t>Consolidated</w:t>
            </w:r>
          </w:p>
        </w:tc>
      </w:tr>
      <w:tr>
        <w:trPr>
          <w:trHeight w:val="188"/>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 from external customers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62,337</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15,283</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53,548</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131,168</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 and expenses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Integrated service cost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(12,396)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(52,838)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(65,234)</w:t>
            </w: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Promotional service and selling expenses</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(58,597)</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(60,481)</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(1,041)</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(1,275)</w:t>
            </w:r>
          </w:p>
        </w:tc>
      </w:tr>
      <w:tr>
        <w:trPr>
          <w:trHeight w:val="18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(235)</w:t>
            </w: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(1,165)</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(59,873)</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(13,017)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(54,634)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(631)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(128,155)</w:t>
            </w:r>
          </w:p>
        </w:tc>
      </w:tr>
      <w:tr>
        <w:trPr>
          <w:trHeight w:val="223"/>
        </w:trPr>
        <w:tc>
          <w:tcPr>
            <w:tcW w:w="4620" w:type="dxa"/>
            <w:vAlign w:val="bottom"/>
          </w:tcPr>
          <w:p>
            <w:pPr>
              <w:spacing w:after="0" w:line="223" w:lineRule="exact"/>
              <w:rPr>
                <w:sz w:val="20"/>
                <w:szCs w:val="20"/>
                <w:color w:val="auto"/>
              </w:rPr>
            </w:pPr>
            <w:r>
              <w:rPr>
                <w:rFonts w:ascii="Times New Roman" w:cs="Times New Roman" w:eastAsia="Times New Roman" w:hAnsi="Times New Roman"/>
                <w:sz w:val="15"/>
                <w:szCs w:val="15"/>
                <w:b w:val="1"/>
                <w:bCs w:val="1"/>
                <w:color w:val="auto"/>
              </w:rPr>
              <w:t xml:space="preserve">Total other income (expenses), net </w:t>
            </w:r>
            <w:r>
              <w:rPr>
                <w:rFonts w:ascii="Times New Roman" w:cs="Times New Roman" w:eastAsia="Times New Roman" w:hAnsi="Times New Roman"/>
                <w:sz w:val="25"/>
                <w:szCs w:val="25"/>
                <w:b w:val="1"/>
                <w:bCs w:val="1"/>
                <w:color w:val="auto"/>
                <w:vertAlign w:val="superscript"/>
              </w:rPr>
              <w:t>(1)</w:t>
            </w: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w:t>
            </w:r>
          </w:p>
        </w:tc>
        <w:tc>
          <w:tcPr>
            <w:tcW w:w="1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(1,005)</w:t>
            </w:r>
          </w:p>
        </w:tc>
      </w:tr>
      <w:tr>
        <w:trPr>
          <w:trHeight w:val="18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Segment income (loss) before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2,489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2,169</w:t>
            </w:r>
          </w:p>
        </w:tc>
        <w:tc>
          <w:tcPr>
            <w:tcW w:w="30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(1,857)</w:t>
            </w:r>
          </w:p>
        </w:tc>
        <w:tc>
          <w:tcPr>
            <w:tcW w:w="3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(793)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2,008</w:t>
            </w:r>
          </w:p>
        </w:tc>
      </w:tr>
    </w:tbl>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(1) Included net of financial expenses, investment income and others.</w:t>
      </w:r>
    </w:p>
    <w:p>
      <w:pPr>
        <w:sectPr>
          <w:pgSz w:w="11900" w:h="16838" w:orient="portrait"/>
          <w:cols w:equalWidth="0" w:num="1">
            <w:col w:w="11266"/>
          </w:cols>
          <w:pgMar w:left="314" w:top="778" w:right="319" w:bottom="1440" w:gutter="0" w:footer="0" w:header="0"/>
        </w:sectPr>
      </w:pPr>
    </w:p>
    <w:p>
      <w:pPr>
        <w:spacing w:after="0" w:line="1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5"/>
          <w:szCs w:val="15"/>
          <w:color w:val="auto"/>
        </w:rPr>
        <w:t>The total assets by segments as of December 31, 2025 and as of March 31, 2026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Segment assets</w:t>
      </w:r>
    </w:p>
    <w:p>
      <w:pPr>
        <w:spacing w:after="0" w:line="1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Auto eInsurance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Technology service</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Auto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150100" cy="1193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Others</w:t>
      </w:r>
    </w:p>
    <w:p>
      <w:pPr>
        <w:spacing w:after="0" w:line="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Total segment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150100" cy="156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010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r>
      <w:tr>
        <w:trPr>
          <w:trHeight w:val="205"/>
        </w:trPr>
        <w:tc>
          <w:tcPr>
            <w:tcW w:w="100" w:type="dxa"/>
            <w:vAlign w:val="bottom"/>
          </w:tcPr>
          <w:p>
            <w:pPr>
              <w:spacing w:after="0"/>
              <w:rPr>
                <w:sz w:val="17"/>
                <w:szCs w:val="17"/>
                <w:color w:val="auto"/>
              </w:rPr>
            </w:pPr>
          </w:p>
        </w:tc>
        <w:tc>
          <w:tcPr>
            <w:tcW w:w="1040" w:type="dxa"/>
            <w:vAlign w:val="bottom"/>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7"/>
                <w:szCs w:val="17"/>
                <w:color w:val="auto"/>
              </w:rPr>
            </w:pPr>
          </w:p>
        </w:tc>
      </w:tr>
      <w:tr>
        <w:trPr>
          <w:trHeight w:val="341"/>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62,550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58,917</w:t>
            </w:r>
          </w:p>
        </w:tc>
      </w:tr>
      <w:tr>
        <w:trPr>
          <w:trHeight w:val="188"/>
        </w:trPr>
        <w:tc>
          <w:tcPr>
            <w:tcW w:w="10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35,906</w:t>
            </w:r>
          </w:p>
        </w:tc>
        <w:tc>
          <w:tcPr>
            <w:tcW w:w="1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37,255</w:t>
            </w:r>
          </w:p>
        </w:tc>
      </w:tr>
      <w:tr>
        <w:trPr>
          <w:trHeight w:val="199"/>
        </w:trPr>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160,401</w:t>
            </w:r>
          </w:p>
        </w:tc>
        <w:tc>
          <w:tcPr>
            <w:tcW w:w="20" w:type="dxa"/>
            <w:vAlign w:val="bottom"/>
          </w:tcPr>
          <w:p>
            <w:pPr>
              <w:spacing w:after="0"/>
              <w:rPr>
                <w:sz w:val="17"/>
                <w:szCs w:val="17"/>
                <w:color w:val="auto"/>
              </w:rPr>
            </w:pPr>
          </w:p>
        </w:tc>
      </w:tr>
      <w:tr>
        <w:trPr>
          <w:trHeight w:val="208"/>
        </w:trPr>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20" w:type="dxa"/>
            <w:vAlign w:val="bottom"/>
            <w:tcBorders>
              <w:bottom w:val="single" w:sz="8" w:color="auto"/>
            </w:tcBorders>
          </w:tcPr>
          <w:p>
            <w:pPr>
              <w:spacing w:after="0"/>
              <w:rPr>
                <w:sz w:val="18"/>
                <w:szCs w:val="18"/>
                <w:color w:val="auto"/>
              </w:rPr>
            </w:pPr>
          </w:p>
        </w:tc>
      </w:tr>
      <w:tr>
        <w:trPr>
          <w:trHeight w:val="215"/>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253,196</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258,965</w:t>
            </w:r>
          </w:p>
        </w:tc>
        <w:tc>
          <w:tcPr>
            <w:tcW w:w="20" w:type="dxa"/>
            <w:vAlign w:val="bottom"/>
            <w:tcBorders>
              <w:bottom w:val="single" w:sz="8" w:color="auto"/>
            </w:tcBorders>
          </w:tcPr>
          <w:p>
            <w:pPr>
              <w:spacing w:after="0"/>
              <w:rPr>
                <w:sz w:val="18"/>
                <w:szCs w:val="18"/>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6" w:space="720"/>
            <w:col w:w="2580"/>
          </w:cols>
          <w:pgMar w:left="314" w:top="778" w:right="319" w:bottom="1440" w:gutter="0" w:footer="0" w:header="0"/>
          <w:type w:val="continuous"/>
        </w:sectPr>
      </w:pPr>
    </w:p>
    <w:p>
      <w:pPr>
        <w:spacing w:after="0" w:line="15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15010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778" w:right="319" w:bottom="1440" w:gutter="0" w:footer="0" w:header="0"/>
          <w:type w:val="continuous"/>
        </w:sectPr>
      </w:pPr>
    </w:p>
    <w:bookmarkStart w:id="15" w:name="page16"/>
    <w:bookmarkEnd w:id="15"/>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5"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4" w:lineRule="exact"/>
        <w:rPr>
          <w:sz w:val="20"/>
          <w:szCs w:val="20"/>
          <w:color w:val="auto"/>
        </w:rPr>
      </w:pPr>
    </w:p>
    <w:p>
      <w:pPr>
        <w:ind w:left="282" w:hanging="282"/>
        <w:spacing w:after="0"/>
        <w:tabs>
          <w:tab w:leader="none" w:pos="282"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 NET</w:t>
      </w:r>
    </w:p>
    <w:p>
      <w:pPr>
        <w:sectPr>
          <w:pgSz w:w="11900" w:h="16838" w:orient="portrait"/>
          <w:cols w:equalWidth="0" w:num="1">
            <w:col w:w="11262"/>
          </w:cols>
          <w:pgMar w:left="318" w:top="778" w:right="319" w:bottom="1440" w:gutter="0" w:footer="0" w:header="0"/>
        </w:sectPr>
      </w:pPr>
    </w:p>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Accounts receivable,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50100" cy="1193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Allowance for credit losses</w:t>
      </w:r>
    </w:p>
    <w:p>
      <w:pPr>
        <w:spacing w:after="0" w:line="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-104140</wp:posOffset>
            </wp:positionV>
            <wp:extent cx="7150100" cy="141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42"/>
              <w:spacing w:after="0" w:line="171" w:lineRule="exact"/>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4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60" w:type="dxa"/>
            <w:vAlign w:val="bottom"/>
            <w:gridSpan w:val="3"/>
          </w:tcPr>
          <w:p>
            <w:pPr>
              <w:spacing w:after="0"/>
              <w:rPr>
                <w:sz w:val="14"/>
                <w:szCs w:val="14"/>
                <w:color w:val="auto"/>
              </w:rPr>
            </w:pPr>
          </w:p>
        </w:tc>
      </w:tr>
      <w:tr>
        <w:trPr>
          <w:trHeight w:val="188"/>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86,384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center"/>
              <w:ind w:left="462"/>
              <w:spacing w:after="0"/>
              <w:rPr>
                <w:sz w:val="20"/>
                <w:szCs w:val="20"/>
                <w:color w:val="auto"/>
              </w:rPr>
            </w:pPr>
            <w:r>
              <w:rPr>
                <w:rFonts w:ascii="Times New Roman" w:cs="Times New Roman" w:eastAsia="Times New Roman" w:hAnsi="Times New Roman"/>
                <w:sz w:val="16"/>
                <w:szCs w:val="16"/>
                <w:color w:val="auto"/>
                <w:w w:val="95"/>
              </w:rPr>
              <w:t>71,211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(26,617)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4"/>
          </w:tcPr>
          <w:p>
            <w:pPr>
              <w:jc w:val="center"/>
              <w:ind w:left="442"/>
              <w:spacing w:after="0"/>
              <w:rPr>
                <w:sz w:val="20"/>
                <w:szCs w:val="20"/>
                <w:color w:val="auto"/>
              </w:rPr>
            </w:pPr>
            <w:r>
              <w:rPr>
                <w:rFonts w:ascii="Times New Roman" w:cs="Times New Roman" w:eastAsia="Times New Roman" w:hAnsi="Times New Roman"/>
                <w:sz w:val="16"/>
                <w:szCs w:val="16"/>
                <w:color w:val="auto"/>
                <w:w w:val="95"/>
              </w:rPr>
              <w:t>(25,113)</w:t>
            </w:r>
          </w:p>
        </w:tc>
      </w:tr>
      <w:tr>
        <w:trPr>
          <w:trHeight w:val="191"/>
        </w:trPr>
        <w:tc>
          <w:tcPr>
            <w:tcW w:w="2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59,767</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bottom w:val="single" w:sz="8" w:color="auto"/>
            </w:tcBorders>
            <w:gridSpan w:val="2"/>
          </w:tcPr>
          <w:p>
            <w:pPr>
              <w:jc w:val="center"/>
              <w:ind w:left="462"/>
              <w:spacing w:after="0"/>
              <w:rPr>
                <w:sz w:val="20"/>
                <w:szCs w:val="20"/>
                <w:color w:val="auto"/>
              </w:rPr>
            </w:pPr>
            <w:r>
              <w:rPr>
                <w:rFonts w:ascii="Times New Roman" w:cs="Times New Roman" w:eastAsia="Times New Roman" w:hAnsi="Times New Roman"/>
                <w:sz w:val="16"/>
                <w:szCs w:val="16"/>
                <w:b w:val="1"/>
                <w:bCs w:val="1"/>
                <w:color w:val="auto"/>
                <w:w w:val="95"/>
              </w:rPr>
              <w:t>46,098</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962" w:space="720"/>
            <w:col w:w="2580"/>
          </w:cols>
          <w:pgMar w:left="318" w:top="778" w:right="31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5"/>
          <w:szCs w:val="15"/>
          <w:color w:val="auto"/>
        </w:rPr>
        <w:t>The Group recognized credit losses of $1,130 for the three months ended March 31, 2025 and recorded reversed credit losses of $1,864 for the three months ended March 31, 2026.</w:t>
      </w:r>
    </w:p>
    <w:p>
      <w:pPr>
        <w:spacing w:after="0" w:line="20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movement of allowance for credit losses for the three months ended March 31, 2025 and 2026 were as follows:</w:t>
      </w:r>
    </w:p>
    <w:p>
      <w:pPr>
        <w:spacing w:after="0" w:line="189"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55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r>
      <w:tr>
        <w:trPr>
          <w:trHeight w:val="188"/>
        </w:trPr>
        <w:tc>
          <w:tcPr>
            <w:tcW w:w="55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6"/>
                <w:szCs w:val="16"/>
                <w:color w:val="auto"/>
              </w:rPr>
            </w:pPr>
          </w:p>
        </w:tc>
      </w:tr>
      <w:tr>
        <w:trPr>
          <w:trHeight w:val="18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3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21,862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26,617</w:t>
            </w:r>
          </w:p>
        </w:tc>
      </w:tr>
      <w:tr>
        <w:trPr>
          <w:trHeight w:val="188"/>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Additions</w:t>
            </w:r>
          </w:p>
        </w:tc>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Decrease</w:t>
            </w:r>
          </w:p>
        </w:tc>
        <w:tc>
          <w:tcPr>
            <w:tcW w:w="3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(1,864)</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w:t>
            </w:r>
          </w:p>
        </w:tc>
      </w:tr>
      <w:tr>
        <w:trPr>
          <w:trHeight w:val="191"/>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the end of the period</w:t>
            </w:r>
          </w:p>
        </w:tc>
        <w:tc>
          <w:tcPr>
            <w:tcW w:w="31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23,123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25,113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bl>
    <w:p>
      <w:pPr>
        <w:spacing w:after="0" w:line="169" w:lineRule="exact"/>
        <w:rPr>
          <w:sz w:val="20"/>
          <w:szCs w:val="20"/>
          <w:color w:val="auto"/>
        </w:rPr>
      </w:pPr>
    </w:p>
    <w:p>
      <w:pPr>
        <w:ind w:left="282" w:hanging="282"/>
        <w:spacing w:after="0"/>
        <w:tabs>
          <w:tab w:leader="none" w:pos="282"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PREPAID EXPENSES AND OTHER CURRENT ASSETS, NET</w:t>
      </w:r>
    </w:p>
    <w:p>
      <w:pPr>
        <w:spacing w:after="0" w:line="193" w:lineRule="exact"/>
        <w:rPr>
          <w:sz w:val="20"/>
          <w:szCs w:val="20"/>
          <w:color w:val="auto"/>
        </w:rPr>
      </w:pPr>
    </w:p>
    <w:tbl>
      <w:tblPr>
        <w:tblLayout w:type="fixed"/>
        <w:tblInd w:w="2" w:type="dxa"/>
        <w:tblCellMar>
          <w:top w:w="0" w:type="dxa"/>
          <w:left w:w="0" w:type="dxa"/>
          <w:bottom w:w="0" w:type="dxa"/>
          <w:right w:w="0" w:type="dxa"/>
        </w:tblCellMar>
      </w:tblP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 net consisted of the following:</w:t>
            </w: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6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24"/>
                <w:szCs w:val="24"/>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199"/>
        </w:trPr>
        <w:tc>
          <w:tcPr>
            <w:tcW w:w="6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Advances to suppliers</w:t>
            </w:r>
            <w:r>
              <w:rPr>
                <w:rFonts w:ascii="Times New Roman" w:cs="Times New Roman" w:eastAsia="Times New Roman" w:hAnsi="Times New Roman"/>
                <w:sz w:val="25"/>
                <w:szCs w:val="25"/>
                <w:color w:val="auto"/>
                <w:vertAlign w:val="superscript"/>
              </w:rPr>
              <w:t>(1)</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67,217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97,538</w:t>
            </w:r>
          </w:p>
        </w:tc>
        <w:tc>
          <w:tcPr>
            <w:tcW w:w="0" w:type="dxa"/>
            <w:vAlign w:val="bottom"/>
          </w:tcPr>
          <w:p>
            <w:pPr>
              <w:spacing w:after="0"/>
              <w:rPr>
                <w:sz w:val="1"/>
                <w:szCs w:val="1"/>
                <w:color w:val="auto"/>
              </w:rPr>
            </w:pPr>
          </w:p>
        </w:tc>
      </w:tr>
      <w:tr>
        <w:trPr>
          <w:trHeight w:val="223"/>
        </w:trPr>
        <w:tc>
          <w:tcPr>
            <w:tcW w:w="662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 xml:space="preserve">Securities margin </w:t>
            </w:r>
            <w:r>
              <w:rPr>
                <w:rFonts w:ascii="Times New Roman" w:cs="Times New Roman" w:eastAsia="Times New Roman" w:hAnsi="Times New Roman"/>
                <w:sz w:val="25"/>
                <w:szCs w:val="25"/>
                <w:color w:val="auto"/>
                <w:vertAlign w:val="superscript"/>
              </w:rPr>
              <w:t>(2)</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Value-added tax (“VAT”) receivables</w:t>
            </w:r>
          </w:p>
        </w:tc>
        <w:tc>
          <w:tcPr>
            <w:tcW w:w="2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2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 xml:space="preserve">Advances to employees </w:t>
            </w:r>
            <w:r>
              <w:rPr>
                <w:rFonts w:ascii="Times New Roman" w:cs="Times New Roman" w:eastAsia="Times New Roman" w:hAnsi="Times New Roman"/>
                <w:sz w:val="25"/>
                <w:szCs w:val="25"/>
                <w:color w:val="auto"/>
                <w:vertAlign w:val="superscript"/>
              </w:rPr>
              <w:t>(3)</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 xml:space="preserve">Receivables from payment platforms </w:t>
            </w:r>
            <w:r>
              <w:rPr>
                <w:rFonts w:ascii="Times New Roman" w:cs="Times New Roman" w:eastAsia="Times New Roman" w:hAnsi="Times New Roman"/>
                <w:sz w:val="25"/>
                <w:szCs w:val="25"/>
                <w:color w:val="auto"/>
                <w:vertAlign w:val="superscript"/>
              </w:rPr>
              <w:t>(4)</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517</w:t>
            </w:r>
          </w:p>
        </w:tc>
        <w:tc>
          <w:tcPr>
            <w:tcW w:w="0" w:type="dxa"/>
            <w:vAlign w:val="bottom"/>
          </w:tcPr>
          <w:p>
            <w:pPr>
              <w:spacing w:after="0"/>
              <w:rPr>
                <w:sz w:val="1"/>
                <w:szCs w:val="1"/>
                <w:color w:val="auto"/>
              </w:rPr>
            </w:pPr>
          </w:p>
        </w:tc>
      </w:tr>
      <w:tr>
        <w:trPr>
          <w:trHeight w:val="223"/>
        </w:trPr>
        <w:tc>
          <w:tcPr>
            <w:tcW w:w="662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 xml:space="preserve">Prepaid financing expense </w:t>
            </w:r>
            <w:r>
              <w:rPr>
                <w:rFonts w:ascii="Times New Roman" w:cs="Times New Roman" w:eastAsia="Times New Roman" w:hAnsi="Times New Roman"/>
                <w:sz w:val="25"/>
                <w:szCs w:val="25"/>
                <w:color w:val="auto"/>
                <w:vertAlign w:val="superscript"/>
              </w:rPr>
              <w:t>(5)</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171"/>
        </w:trPr>
        <w:tc>
          <w:tcPr>
            <w:tcW w:w="66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6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74,246</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108,544</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Allowance for credit loss</w:t>
            </w:r>
          </w:p>
        </w:tc>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Prepaid expenses and other current assets, net</w:t>
            </w:r>
          </w:p>
        </w:tc>
        <w:tc>
          <w:tcPr>
            <w:tcW w:w="2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620" w:type="dxa"/>
            <w:vAlign w:val="bottom"/>
            <w:vMerge w:val="continue"/>
          </w:tcPr>
          <w:p>
            <w:pPr>
              <w:spacing w:after="0"/>
              <w:rPr>
                <w:sz w:val="17"/>
                <w:szCs w:val="17"/>
                <w:color w:val="auto"/>
              </w:rPr>
            </w:pP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74,072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108,367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282" w:right="20" w:hanging="282"/>
        <w:spacing w:after="0" w:line="257" w:lineRule="auto"/>
        <w:tabs>
          <w:tab w:leader="none" w:pos="28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advances to suppliers are interest-free, unsecured, and expected to be utilized through offset against future payables upon receipt of goods or services within the next 12 months. Management regularly monitors supplier performance, credit risk, and potential indicators of impairment, and evaluates advances for recoverability if recovery becomes doubtful.</w:t>
      </w: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5010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2"/>
          </w:cols>
          <w:pgMar w:left="318" w:top="778" w:right="319" w:bottom="1440" w:gutter="0" w:footer="0" w:header="0"/>
          <w:type w:val="continuous"/>
        </w:sectPr>
      </w:pPr>
    </w:p>
    <w:bookmarkStart w:id="16" w:name="page17"/>
    <w:bookmarkEnd w:id="16"/>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ind w:left="282" w:right="20" w:hanging="282"/>
        <w:spacing w:after="0" w:line="271" w:lineRule="auto"/>
        <w:tabs>
          <w:tab w:leader="none" w:pos="282"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April 21, 2025, May 15, 2025, and August 12, 2025, Shanghai Cuhong Auto Services Co., Ltd. (“Shanghai Cuhong”), a subsidiary of the Company, provided cash collateral of RMB14.6 million (approximately $2.1 million), RMB7.2 million (approximately $1.0 million) and RMB7.2 million (approximately $1.0 million), respectively, to Beijing Youhu Business Services Co., Ltd. (“Youhu”) under a guarantee agreement. The collateral was intended to secure margin loan obligations of Lu Ruixia, Yang Shuaiqi, Yang Dan and Guo Qingbao with Youhu’s related entities, Tiger Brokers (NZ) Limited and Tiger Brokers (HK) Global Limited. The amount is refundable only when such third parties have fully satisfied and complied with any additional margin requirements. The Group expects that the amount will be recovered by the first quarter of 2027.</w:t>
      </w:r>
    </w:p>
    <w:p>
      <w:pPr>
        <w:spacing w:after="0" w:line="152" w:lineRule="exact"/>
        <w:rPr>
          <w:rFonts w:ascii="Times New Roman" w:cs="Times New Roman" w:eastAsia="Times New Roman" w:hAnsi="Times New Roman"/>
          <w:sz w:val="15"/>
          <w:szCs w:val="15"/>
          <w:color w:val="auto"/>
        </w:rPr>
      </w:pPr>
    </w:p>
    <w:p>
      <w:pPr>
        <w:ind w:left="282" w:hanging="282"/>
        <w:spacing w:after="0"/>
        <w:tabs>
          <w:tab w:leader="none" w:pos="28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represented advances to employees for the group’s daily operation. The Group expects that the amount will be recovered by the first quarter of 2027.</w:t>
      </w:r>
    </w:p>
    <w:p>
      <w:pPr>
        <w:spacing w:after="0" w:line="191" w:lineRule="exact"/>
        <w:rPr>
          <w:rFonts w:ascii="Times New Roman" w:cs="Times New Roman" w:eastAsia="Times New Roman" w:hAnsi="Times New Roman"/>
          <w:sz w:val="16"/>
          <w:szCs w:val="16"/>
          <w:color w:val="auto"/>
        </w:rPr>
      </w:pPr>
    </w:p>
    <w:p>
      <w:pPr>
        <w:ind w:left="282" w:right="20" w:hanging="282"/>
        <w:spacing w:after="0" w:line="270" w:lineRule="auto"/>
        <w:tabs>
          <w:tab w:leader="none" w:pos="28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Third-party payment platform receivable represent customer payments collected through online payment platform that have not yet been remitted to the group’s bank accounts as of March 31, 2026.</w:t>
      </w:r>
    </w:p>
    <w:p>
      <w:pPr>
        <w:spacing w:after="0" w:line="149"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represented prepaid financing expense related to issuance of GEM Warrants (See Note 12).</w:t>
      </w:r>
    </w:p>
    <w:p>
      <w:pPr>
        <w:spacing w:after="0" w:line="191" w:lineRule="exact"/>
        <w:rPr>
          <w:sz w:val="20"/>
          <w:szCs w:val="20"/>
          <w:color w:val="auto"/>
        </w:rPr>
      </w:pPr>
    </w:p>
    <w:p>
      <w:pPr>
        <w:ind w:left="2" w:right="20"/>
        <w:spacing w:after="0" w:line="270" w:lineRule="auto"/>
        <w:rPr>
          <w:sz w:val="20"/>
          <w:szCs w:val="20"/>
          <w:color w:val="auto"/>
        </w:rPr>
      </w:pPr>
      <w:r>
        <w:rPr>
          <w:rFonts w:ascii="Times New Roman" w:cs="Times New Roman" w:eastAsia="Times New Roman" w:hAnsi="Times New Roman"/>
          <w:sz w:val="16"/>
          <w:szCs w:val="16"/>
          <w:color w:val="auto"/>
        </w:rPr>
        <w:t>The Group assessed the collectability of prepayments and other current assets and did not record credit losses for the three months ended March 31, 2025 and 2026, respectively. The movement of allowance for credit losses for the three months ended March 31, 2025 and 2026 were as follows:</w:t>
      </w:r>
    </w:p>
    <w:p>
      <w:pPr>
        <w:sectPr>
          <w:pgSz w:w="11900" w:h="16838" w:orient="portrait"/>
          <w:cols w:equalWidth="0" w:num="1">
            <w:col w:w="11262"/>
          </w:cols>
          <w:pgMar w:left="318" w:top="77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at the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50100" cy="1193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Foreign currency translation</w:t>
      </w:r>
    </w:p>
    <w:p>
      <w:pPr>
        <w:spacing w:after="0" w:line="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Balance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150100" cy="133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0100" cy="133985"/>
                    </a:xfrm>
                    <a:prstGeom prst="rect">
                      <a:avLst/>
                    </a:prstGeom>
                    <a:noFill/>
                  </pic:spPr>
                </pic:pic>
              </a:graphicData>
            </a:graphic>
          </wp:anchor>
        </w:drawing>
      </w:r>
    </w:p>
    <w:p>
      <w:pPr>
        <w:spacing w:after="0" w:line="205" w:lineRule="exact"/>
        <w:rPr>
          <w:sz w:val="20"/>
          <w:szCs w:val="20"/>
          <w:color w:val="auto"/>
        </w:rPr>
      </w:pPr>
    </w:p>
    <w:p>
      <w:pPr>
        <w:ind w:left="282" w:hanging="282"/>
        <w:spacing w:after="0"/>
        <w:tabs>
          <w:tab w:leader="none" w:pos="282" w:val="left"/>
        </w:tabs>
        <w:numPr>
          <w:ilvl w:val="0"/>
          <w:numId w:val="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SOFTWARE AND EQUIPMENT, NET</w:t>
      </w:r>
    </w:p>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5"/>
          <w:szCs w:val="15"/>
          <w:color w:val="auto"/>
        </w:rPr>
        <w:t>Property, software and equipment,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Cost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4"/>
                <w:szCs w:val="14"/>
                <w:color w:val="auto"/>
              </w:rPr>
            </w:pPr>
          </w:p>
        </w:tc>
      </w:tr>
      <w:tr>
        <w:trPr>
          <w:trHeight w:val="199"/>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r>
      <w:tr>
        <w:trPr>
          <w:trHeight w:val="208"/>
        </w:trPr>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191"/>
        </w:trPr>
        <w:tc>
          <w:tcPr>
            <w:tcW w:w="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2026</w:t>
            </w:r>
          </w:p>
        </w:tc>
      </w:tr>
      <w:tr>
        <w:trPr>
          <w:trHeight w:val="205"/>
        </w:trPr>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(Unaudited)</w:t>
            </w:r>
          </w:p>
        </w:tc>
      </w:tr>
    </w:tbl>
    <w:p>
      <w:pPr>
        <w:spacing w:after="0" w:line="150" w:lineRule="exact"/>
        <w:rPr>
          <w:sz w:val="20"/>
          <w:szCs w:val="20"/>
          <w:color w:val="auto"/>
        </w:rPr>
      </w:pPr>
    </w:p>
    <w:p>
      <w:pPr>
        <w:sectPr>
          <w:pgSz w:w="11900" w:h="16838" w:orient="portrait"/>
          <w:cols w:equalWidth="0" w:num="2">
            <w:col w:w="7962" w:space="720"/>
            <w:col w:w="2580"/>
          </w:cols>
          <w:pgMar w:left="318" w:top="778" w:right="319" w:bottom="1440" w:gutter="0" w:footer="0" w:header="0"/>
          <w:type w:val="continuous"/>
        </w:sectPr>
      </w:pPr>
    </w:p>
    <w:tbl>
      <w:tblPr>
        <w:tblLayout w:type="fixed"/>
        <w:tblInd w:w="2" w:type="dxa"/>
        <w:tblCellMar>
          <w:top w:w="0" w:type="dxa"/>
          <w:left w:w="0" w:type="dxa"/>
          <w:bottom w:w="0" w:type="dxa"/>
          <w:right w:w="0" w:type="dxa"/>
        </w:tblCellMar>
      </w:tblPr>
      <w:tr>
        <w:trPr>
          <w:trHeight w:val="243"/>
        </w:trPr>
        <w:tc>
          <w:tcPr>
            <w:tcW w:w="56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Computer software</w:t>
            </w:r>
            <w:r>
              <w:rPr>
                <w:rFonts w:ascii="Times New Roman" w:cs="Times New Roman" w:eastAsia="Times New Roman" w:hAnsi="Times New Roman"/>
                <w:sz w:val="26"/>
                <w:szCs w:val="26"/>
                <w:color w:val="auto"/>
                <w:vertAlign w:val="superscript"/>
              </w:rPr>
              <w:t>(1)</w:t>
            </w:r>
          </w:p>
        </w:tc>
        <w:tc>
          <w:tcPr>
            <w:tcW w:w="342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32,812</w:t>
            </w:r>
          </w:p>
        </w:tc>
        <w:tc>
          <w:tcPr>
            <w:tcW w:w="4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33,264</w:t>
            </w:r>
          </w:p>
        </w:tc>
      </w:t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Electronic equipment</w:t>
            </w: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14,061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14,273</w:t>
            </w:r>
          </w:p>
        </w:tc>
      </w:tr>
      <w:tr>
        <w:trPr>
          <w:trHeight w:val="18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3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838</w:t>
            </w:r>
          </w:p>
        </w:tc>
      </w:t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Building</w:t>
            </w:r>
          </w:p>
        </w:tc>
        <w:tc>
          <w:tcPr>
            <w:tcW w:w="3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721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731</w:t>
            </w:r>
          </w:p>
        </w:tc>
      </w:tr>
      <w:tr>
        <w:trPr>
          <w:trHeight w:val="188"/>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equipment and furniture</w:t>
            </w:r>
          </w:p>
        </w:tc>
        <w:tc>
          <w:tcPr>
            <w:tcW w:w="30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213</w:t>
            </w:r>
          </w:p>
        </w:tc>
      </w:tr>
      <w:tr>
        <w:trPr>
          <w:trHeight w:val="203"/>
        </w:trPr>
        <w:tc>
          <w:tcPr>
            <w:tcW w:w="562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3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116</w:t>
            </w:r>
          </w:p>
        </w:tc>
      </w:tr>
      <w:tr>
        <w:trPr>
          <w:trHeight w:val="208"/>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0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620" w:type="dxa"/>
            <w:vAlign w:val="bottom"/>
            <w:tcBorders>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Less: accumulated depreciation</w:t>
            </w:r>
          </w:p>
        </w:tc>
        <w:tc>
          <w:tcPr>
            <w:tcW w:w="30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(24,556</w:t>
            </w:r>
          </w:p>
        </w:tc>
        <w:tc>
          <w:tcPr>
            <w:tcW w:w="12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(25,972</w:t>
            </w:r>
          </w:p>
        </w:tc>
        <w:tc>
          <w:tcPr>
            <w:tcW w:w="120" w:type="dxa"/>
            <w:vAlign w:val="bottom"/>
            <w:tcBorders>
              <w:bottom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software and equipment, net</w:t>
            </w:r>
          </w:p>
        </w:tc>
        <w:tc>
          <w:tcPr>
            <w:tcW w:w="306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24,195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23,463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5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282" w:hanging="282"/>
        <w:spacing w:after="0" w:line="251" w:lineRule="auto"/>
        <w:tabs>
          <w:tab w:leader="none" w:pos="28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2022, a hybrid cloud platform developed with the assistance of a third-party cloud service provider was partially substantially ready for use and transferred from other non-current assets, and certain components of the platform have not yet reached feasibility and remain under development as of March 31, 2026. The cost of the hybrid cloud platform represents the purchase price of the platform and other expenditures incurred to bring the platform into its intended use. The application of the hybrid cloud platform was to improve the IT development capabilities of internal-used software platforms that provide auto eInsurance service and auto service to customers, as well as Software-As-A-Service (“SaaS”) products offered to business partners as part of our technology services.</w:t>
      </w:r>
    </w:p>
    <w:p>
      <w:pPr>
        <w:spacing w:after="0" w:line="352"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5010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2"/>
          </w:cols>
          <w:pgMar w:left="318" w:top="778" w:right="319" w:bottom="1440" w:gutter="0" w:footer="0" w:header="0"/>
          <w:type w:val="continuous"/>
        </w:sectPr>
      </w:pPr>
    </w:p>
    <w:bookmarkStart w:id="17" w:name="page18"/>
    <w:bookmarkEnd w:id="17"/>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Depreciation expense was $1,272 and $1,043 for the three months ended March 31, 2025 and 2026, respectively.</w:t>
      </w:r>
    </w:p>
    <w:p>
      <w:pPr>
        <w:spacing w:after="0" w:line="1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For the three months ended March 31, 2025 and 2026, the Group recorded no impairment loss of property, software and equipment.</w:t>
      </w:r>
    </w:p>
    <w:p>
      <w:pPr>
        <w:sectPr>
          <w:pgSz w:w="11900" w:h="16838" w:orient="portrait"/>
          <w:cols w:equalWidth="0" w:num="1">
            <w:col w:w="11266"/>
          </w:cols>
          <w:pgMar w:left="314" w:top="778" w:right="319" w:bottom="1440" w:gutter="0" w:footer="0" w:header="0"/>
        </w:sectPr>
      </w:pPr>
    </w:p>
    <w:p>
      <w:pPr>
        <w:spacing w:after="0" w:line="189" w:lineRule="exact"/>
        <w:rPr>
          <w:sz w:val="20"/>
          <w:szCs w:val="20"/>
          <w:color w:val="auto"/>
        </w:rPr>
      </w:pPr>
    </w:p>
    <w:p>
      <w:pPr>
        <w:ind w:left="286" w:hanging="282"/>
        <w:spacing w:after="0"/>
        <w:tabs>
          <w:tab w:leader="none" w:pos="286"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CONSTRUCTION IN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Other cloud infrastructure</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50100" cy="141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ind w:left="6"/>
        <w:spacing w:after="0" w:line="205" w:lineRule="auto"/>
        <w:rPr>
          <w:sz w:val="20"/>
          <w:szCs w:val="20"/>
          <w:color w:val="auto"/>
        </w:rPr>
      </w:pPr>
      <w:r>
        <w:rPr>
          <w:rFonts w:ascii="Times New Roman" w:cs="Times New Roman" w:eastAsia="Times New Roman" w:hAnsi="Times New Roman"/>
          <w:sz w:val="15"/>
          <w:szCs w:val="15"/>
          <w:color w:val="auto"/>
        </w:rPr>
        <w:t>Artificial intelligence platform under construction</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50100" cy="163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0100" cy="16383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left="-5"/>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1" w:lineRule="exact"/>
        <w:rPr>
          <w:sz w:val="20"/>
          <w:szCs w:val="20"/>
          <w:color w:val="auto"/>
        </w:rPr>
      </w:pPr>
    </w:p>
    <w:p>
      <w:pPr>
        <w:jc w:val="center"/>
        <w:ind w:left="-5"/>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4" w:lineRule="exact"/>
        <w:rPr>
          <w:sz w:val="20"/>
          <w:szCs w:val="20"/>
          <w:color w:val="auto"/>
        </w:rPr>
      </w:pPr>
    </w:p>
    <w:p>
      <w:pPr>
        <w:jc w:val="center"/>
        <w:ind w:left="-5"/>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263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2630" cy="14605"/>
                    </a:xfrm>
                    <a:prstGeom prst="rect">
                      <a:avLst/>
                    </a:prstGeom>
                    <a:noFill/>
                  </pic:spPr>
                </pic:pic>
              </a:graphicData>
            </a:graphic>
          </wp:anchor>
        </w:drawing>
      </w:r>
    </w:p>
    <w:p>
      <w:pPr>
        <w:spacing w:after="0" w:line="1" w:lineRule="exact"/>
        <w:rPr>
          <w:sz w:val="20"/>
          <w:szCs w:val="20"/>
          <w:color w:val="auto"/>
        </w:rPr>
      </w:pPr>
    </w:p>
    <w:p>
      <w:pPr>
        <w:jc w:val="center"/>
        <w:ind w:left="-5"/>
        <w:spacing w:after="0"/>
        <w:rPr>
          <w:sz w:val="20"/>
          <w:szCs w:val="20"/>
          <w:color w:val="auto"/>
        </w:rPr>
      </w:pPr>
      <w:r>
        <w:rPr>
          <w:rFonts w:ascii="Times New Roman" w:cs="Times New Roman" w:eastAsia="Times New Roman" w:hAnsi="Times New Roman"/>
          <w:sz w:val="16"/>
          <w:szCs w:val="16"/>
          <w:b w:val="1"/>
          <w:bCs w:val="1"/>
          <w:color w:val="auto"/>
        </w:rPr>
        <w:t>(Audited)</w:t>
      </w:r>
    </w:p>
    <w:p>
      <w:pPr>
        <w:spacing w:after="0" w:line="41" w:lineRule="exact"/>
        <w:rPr>
          <w:sz w:val="20"/>
          <w:szCs w:val="20"/>
          <w:color w:val="auto"/>
        </w:rPr>
      </w:pPr>
    </w:p>
    <w:p>
      <w:pPr>
        <w:ind w:left="1086" w:hanging="1086"/>
        <w:spacing w:after="0"/>
        <w:tabs>
          <w:tab w:leader="none" w:pos="108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0" w:lineRule="exact"/>
        <w:rPr>
          <w:rFonts w:ascii="Times New Roman" w:cs="Times New Roman" w:eastAsia="Times New Roman" w:hAnsi="Times New Roman"/>
          <w:sz w:val="16"/>
          <w:szCs w:val="16"/>
          <w:color w:val="auto"/>
        </w:rPr>
      </w:pPr>
    </w:p>
    <w:p>
      <w:pPr>
        <w:ind w:left="1086"/>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51" w:lineRule="exact"/>
        <w:rPr>
          <w:sz w:val="20"/>
          <w:szCs w:val="20"/>
          <w:color w:val="auto"/>
        </w:rPr>
      </w:pPr>
    </w:p>
    <w:p>
      <w:pPr>
        <w:ind w:left="1086" w:hanging="1086"/>
        <w:spacing w:after="0"/>
        <w:tabs>
          <w:tab w:leader="none" w:pos="108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2263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2630" cy="14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1"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0739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07390" cy="14605"/>
                    </a:xfrm>
                    <a:prstGeom prst="rect">
                      <a:avLst/>
                    </a:prstGeom>
                    <a:noFill/>
                  </pic:spPr>
                </pic:pic>
              </a:graphicData>
            </a:graphic>
          </wp:anchor>
        </w:drawing>
      </w:r>
    </w:p>
    <w:p>
      <w:pPr>
        <w:spacing w:after="0" w:line="1" w:lineRule="exact"/>
        <w:rPr>
          <w:sz w:val="20"/>
          <w:szCs w:val="20"/>
          <w:color w:val="auto"/>
        </w:rPr>
      </w:pPr>
    </w:p>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41" w:lineRule="exact"/>
        <w:rPr>
          <w:sz w:val="20"/>
          <w:szCs w:val="20"/>
          <w:color w:val="auto"/>
        </w:rPr>
      </w:pPr>
    </w:p>
    <w:p>
      <w:pPr>
        <w:ind w:left="686" w:hanging="686"/>
        <w:spacing w:after="0"/>
        <w:tabs>
          <w:tab w:leader="none" w:pos="686"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19,826</w:t>
      </w:r>
    </w:p>
    <w:p>
      <w:pPr>
        <w:spacing w:after="0" w:line="62" w:lineRule="exact"/>
        <w:rPr>
          <w:rFonts w:ascii="Times New Roman" w:cs="Times New Roman" w:eastAsia="Times New Roman" w:hAnsi="Times New Roman"/>
          <w:sz w:val="15"/>
          <w:szCs w:val="15"/>
          <w:color w:val="auto"/>
        </w:rPr>
      </w:pPr>
    </w:p>
    <w:p>
      <w:pPr>
        <w:ind w:left="766"/>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4,509</w:t>
      </w:r>
    </w:p>
    <w:p>
      <w:pPr>
        <w:spacing w:after="0" w:line="60" w:lineRule="exact"/>
        <w:rPr>
          <w:sz w:val="20"/>
          <w:szCs w:val="20"/>
          <w:color w:val="auto"/>
        </w:rPr>
      </w:pPr>
    </w:p>
    <w:p>
      <w:pPr>
        <w:ind w:left="686" w:hanging="686"/>
        <w:spacing w:after="0"/>
        <w:tabs>
          <w:tab w:leader="none" w:pos="686" w:val="left"/>
        </w:tabs>
        <w:numPr>
          <w:ilvl w:val="0"/>
          <w:numId w:val="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24,335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0739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07390" cy="1460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3">
            <w:col w:w="7960" w:space="720"/>
            <w:col w:w="1146" w:space="214"/>
            <w:col w:w="1226"/>
          </w:cols>
          <w:pgMar w:left="314" w:top="778" w:right="319" w:bottom="1440" w:gutter="0" w:footer="0" w:header="0"/>
          <w:type w:val="continuous"/>
        </w:sectPr>
      </w:pPr>
    </w:p>
    <w:p>
      <w:pPr>
        <w:spacing w:after="0" w:line="50" w:lineRule="exact"/>
        <w:rPr>
          <w:sz w:val="20"/>
          <w:szCs w:val="20"/>
          <w:color w:val="auto"/>
        </w:rPr>
      </w:pPr>
    </w:p>
    <w:p>
      <w:pPr>
        <w:ind w:left="286" w:hanging="286"/>
        <w:spacing w:after="0" w:line="270" w:lineRule="auto"/>
        <w:tabs>
          <w:tab w:leader="none" w:pos="2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Construction in progress primarily consisted of other cloud infrastructure under construction, which was not available for use as of March 31, 2026 and expected to be completed by the end of 2026.</w:t>
      </w:r>
    </w:p>
    <w:p>
      <w:pPr>
        <w:spacing w:after="0" w:line="149" w:lineRule="exact"/>
        <w:rPr>
          <w:rFonts w:ascii="Times New Roman" w:cs="Times New Roman" w:eastAsia="Times New Roman" w:hAnsi="Times New Roman"/>
          <w:sz w:val="16"/>
          <w:szCs w:val="16"/>
          <w:color w:val="auto"/>
        </w:rPr>
      </w:pPr>
    </w:p>
    <w:p>
      <w:pPr>
        <w:ind w:left="286" w:right="20" w:hanging="286"/>
        <w:spacing w:after="0" w:line="270" w:lineRule="auto"/>
        <w:tabs>
          <w:tab w:leader="none" w:pos="286"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10, 2025, Shengda Automobile entered an agreement to purchase an artificial intelligence platform, which is expected to be completed in April 2027, with totaling price of RMB225 million (approximately $32.6 million). The Group has paid RMB31.1 million (approximately $4.5 million) as of March 31, 2026.</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   INTANGIBLE ASSET, NET</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consisted of the following:</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Intangible assets with indefinite lives: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6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Insurance brokerage license</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Intangible assets</w:t>
            </w:r>
          </w:p>
        </w:tc>
        <w:tc>
          <w:tcPr>
            <w:tcW w:w="262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408</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413</w:t>
            </w:r>
          </w:p>
        </w:tc>
        <w:tc>
          <w:tcPr>
            <w:tcW w:w="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9.  OTHER NON-CURRENT ASSETS</w:t>
            </w:r>
          </w:p>
        </w:tc>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060" w:type="dxa"/>
            <w:vAlign w:val="bottom"/>
            <w:vMerge w:val="continue"/>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 consisted of the following:</w:t>
            </w: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0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60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cloud infrastructure</w:t>
            </w:r>
          </w:p>
        </w:tc>
        <w:tc>
          <w:tcPr>
            <w:tcW w:w="2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19,039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line="223" w:lineRule="exact"/>
              <w:rPr>
                <w:sz w:val="20"/>
                <w:szCs w:val="20"/>
                <w:color w:val="auto"/>
              </w:rPr>
            </w:pPr>
            <w:r>
              <w:rPr>
                <w:rFonts w:ascii="Times New Roman" w:cs="Times New Roman" w:eastAsia="Times New Roman" w:hAnsi="Times New Roman"/>
                <w:sz w:val="15"/>
                <w:szCs w:val="15"/>
                <w:color w:val="auto"/>
              </w:rPr>
              <w:t>Prepaid expense for cloud infrastructure support, net</w:t>
            </w:r>
            <w:r>
              <w:rPr>
                <w:rFonts w:ascii="Times New Roman" w:cs="Times New Roman" w:eastAsia="Times New Roman" w:hAnsi="Times New Roman"/>
                <w:sz w:val="25"/>
                <w:szCs w:val="25"/>
                <w:color w:val="auto"/>
                <w:vertAlign w:val="superscript"/>
              </w:rPr>
              <w:t>(1)</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Securities margin</w:t>
            </w:r>
            <w:r>
              <w:rPr>
                <w:rFonts w:ascii="Times New Roman" w:cs="Times New Roman" w:eastAsia="Times New Roman" w:hAnsi="Times New Roman"/>
                <w:sz w:val="25"/>
                <w:szCs w:val="25"/>
                <w:color w:val="auto"/>
                <w:vertAlign w:val="superscript"/>
              </w:rPr>
              <w:t>(2)</w:t>
            </w:r>
          </w:p>
        </w:tc>
        <w:tc>
          <w:tcPr>
            <w:tcW w:w="2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Artificial intelligence platform under construction</w:t>
            </w:r>
          </w:p>
        </w:tc>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060" w:type="dxa"/>
            <w:vAlign w:val="bottom"/>
            <w:shd w:val="clear" w:color="auto" w:fill="CCEEFF"/>
          </w:tcPr>
          <w:p>
            <w:pPr>
              <w:spacing w:after="0" w:line="235" w:lineRule="exact"/>
              <w:rPr>
                <w:sz w:val="20"/>
                <w:szCs w:val="20"/>
                <w:color w:val="auto"/>
              </w:rPr>
            </w:pPr>
            <w:r>
              <w:rPr>
                <w:rFonts w:ascii="Times New Roman" w:cs="Times New Roman" w:eastAsia="Times New Roman" w:hAnsi="Times New Roman"/>
                <w:sz w:val="16"/>
                <w:szCs w:val="16"/>
                <w:color w:val="auto"/>
              </w:rPr>
              <w:t>Advances to employees</w:t>
            </w:r>
            <w:r>
              <w:rPr>
                <w:rFonts w:ascii="Times New Roman" w:cs="Times New Roman" w:eastAsia="Times New Roman" w:hAnsi="Times New Roman"/>
                <w:sz w:val="26"/>
                <w:szCs w:val="26"/>
                <w:color w:val="auto"/>
                <w:vertAlign w:val="superscript"/>
              </w:rPr>
              <w:t>(3)</w:t>
            </w:r>
          </w:p>
        </w:tc>
        <w:tc>
          <w:tcPr>
            <w:tcW w:w="2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606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Other non-current assets, net</w:t>
            </w:r>
          </w:p>
        </w:tc>
        <w:tc>
          <w:tcPr>
            <w:tcW w:w="262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30,821</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3,759</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6" w:hanging="286"/>
        <w:spacing w:after="0" w:line="270" w:lineRule="auto"/>
        <w:tabs>
          <w:tab w:leader="none" w:pos="28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the Group paid RMB41.2 million (approximately $5.7 million) for cloud infrastructure support, which would be amortized over 3 years based on the service agreements. For the 3 months ended March 31, 2025 and 2026, amortization expense was nil and $468, respectively.</w:t>
      </w:r>
    </w:p>
    <w:p>
      <w:pPr>
        <w:spacing w:after="0" w:line="33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010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778" w:right="319" w:bottom="1440" w:gutter="0" w:footer="0" w:header="0"/>
          <w:type w:val="continuous"/>
        </w:sectPr>
      </w:pPr>
    </w:p>
    <w:bookmarkStart w:id="18" w:name="page19"/>
    <w:bookmarkEnd w:id="18"/>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ind w:left="286" w:hanging="286"/>
        <w:spacing w:after="0" w:line="270" w:lineRule="auto"/>
        <w:tabs>
          <w:tab w:leader="none" w:pos="2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Securities margin represented cash collateral provided under guarantee arrangements. The details of such arrangements and the related collateral deposits are disclosed in Note 5.</w:t>
      </w:r>
    </w:p>
    <w:p>
      <w:pPr>
        <w:spacing w:after="0" w:line="149" w:lineRule="exact"/>
        <w:rPr>
          <w:rFonts w:ascii="Times New Roman" w:cs="Times New Roman" w:eastAsia="Times New Roman" w:hAnsi="Times New Roman"/>
          <w:sz w:val="16"/>
          <w:szCs w:val="16"/>
          <w:color w:val="auto"/>
        </w:rPr>
      </w:pPr>
    </w:p>
    <w:p>
      <w:pPr>
        <w:ind w:left="286" w:hanging="286"/>
        <w:spacing w:after="0" w:line="270" w:lineRule="auto"/>
        <w:tabs>
          <w:tab w:leader="none" w:pos="28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from third parties represented advances to employees for the Group’s daily operations. The details of such advances and related reclassification are disclosed in Note 5.</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10. BORROWINGS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Interest</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Short-term borrowings</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230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00" w:type="dxa"/>
            <w:vAlign w:val="bottom"/>
          </w:tcPr>
          <w:p>
            <w:pPr>
              <w:spacing w:after="0"/>
              <w:rPr>
                <w:sz w:val="18"/>
                <w:szCs w:val="18"/>
                <w:color w:val="auto"/>
              </w:rPr>
            </w:pPr>
          </w:p>
        </w:tc>
        <w:tc>
          <w:tcPr>
            <w:tcW w:w="100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5140" w:type="dxa"/>
            <w:vAlign w:val="bottom"/>
            <w:gridSpan w:val="2"/>
            <w:vMerge w:val="continue"/>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Huaxia Bank Co., Ltd. Shanghai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3.00%-3.45%</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September to November,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12,870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13,048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China Merchants Bank Shanghai Damuqiao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September,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8,580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8,698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Communications Shanghai Putuo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4.44%</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January to February, 2027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7,248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Industrial Bank Co., LTD. Shanghai Pudong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3.50%-4.50%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June to December,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5,074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China Minsheng Bank Co., LTD. Shanghai branch</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2.95%</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July,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4,204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Bank of Nanjing North Bund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March, 2027</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ICBC Shanghai Zhang Jiang high tech Park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December,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Xiamen International Bank Shanghai Jinqiao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June to September,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Ningbo Co., LTD. Shanghai Lianyang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June,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Bank of Jiangsu Co., LTD. Songjiang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3.5%-3.70%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January to March, 2027</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Agricultural Bank of China Co., LTD. Shanghai Xuhui branch(ii)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2.80%-2.82%</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August to December,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2,899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China CITIC Bank Shanghai Pudian Road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June,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China Limited Shanghai Zhabei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June to July,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China Construction Bank Shanghai Jing'an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April to June,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Nanjing North Bund Branch(ii)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3.50%-4.50%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March, 2027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Shanghai Rural Commercial Bank Co., Ltd. Huangpu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3.95%</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May to June,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2,175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Beijing Shanghai Branch(i)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September,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China Minsheng Bank Co., LTD. Shanghai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2.95%</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July,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Beijing Shanghai Branch(ii)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3.00%-3.10%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September 2026 to March 2027</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Bank of Beijing Shanghai Branch</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December,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Bank of China Limited Shanghai Zhabei branch(ii)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September to November,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Huangpu Branch of Bank of Shanghai(i)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March, 2027</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Agricultural Bank of China Co., LTD. Shanghai Minhang branch(ii)</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2.75%</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November, 2026</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Guangfa Bank Co., LTD. Shanghai branch(ii)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3.45%</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July, 2026</w:t>
            </w:r>
          </w:p>
        </w:tc>
        <w:tc>
          <w:tcPr>
            <w:tcW w:w="10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1,450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China CITIC Bank Shanghai Pudian Road Branch</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2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June, 2026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short-term borrowings</w:t>
            </w: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80,394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82,082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Long-term borrowing, current</w:t>
            </w:r>
          </w:p>
        </w:tc>
        <w:tc>
          <w:tcPr>
            <w:tcW w:w="10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Wenzhou Bank Co., Ltd. Shanghai Putuo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4.99%</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August, 2026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borrowing, non-current</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6"/>
                <w:szCs w:val="16"/>
                <w:color w:val="auto"/>
              </w:rPr>
              <w:t>Wenzhou Bank Co., Ltd. Shanghai Putuo Branch(i)</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4.99%</w:t>
            </w:r>
          </w:p>
        </w:tc>
        <w:tc>
          <w:tcPr>
            <w:tcW w:w="2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October, 2028</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1,377</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long-term borrowing</w:t>
            </w: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120" w:type="dxa"/>
            <w:vAlign w:val="bottom"/>
            <w:vMerge w:val="continue"/>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As of December 31, 2025 and March 31, 2026, the bank borrowings were for working capital and capital expenditure purposes borrowings consisted of the following:</w:t>
      </w:r>
    </w:p>
    <w:p>
      <w:pPr>
        <w:spacing w:after="0" w:line="191" w:lineRule="exact"/>
        <w:rPr>
          <w:sz w:val="20"/>
          <w:szCs w:val="20"/>
          <w:color w:val="auto"/>
        </w:rPr>
      </w:pPr>
    </w:p>
    <w:p>
      <w:pPr>
        <w:ind w:left="286" w:hanging="286"/>
        <w:spacing w:after="0"/>
        <w:tabs>
          <w:tab w:leader="none" w:pos="2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March 31, 2026, the bank borrowings of $64,105 and $66,402 were guaranteed by SunCar Online, one of subsidiaries of the Group.</w:t>
      </w:r>
    </w:p>
    <w:p>
      <w:pPr>
        <w:spacing w:after="0" w:line="191"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March 31, 2026, the bank borrowings of $10,725 and $10,149 were guaranteed by Shengda Automobile, one of subsidiaries of the Group.</w:t>
      </w:r>
    </w:p>
    <w:p>
      <w:pPr>
        <w:spacing w:after="0" w:line="37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010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778" w:right="319" w:bottom="1440" w:gutter="0" w:footer="0" w:header="0"/>
        </w:sectPr>
      </w:pPr>
    </w:p>
    <w:bookmarkStart w:id="19" w:name="page20"/>
    <w:bookmarkEnd w:id="1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4" w:lineRule="exact"/>
        <w:rPr>
          <w:sz w:val="20"/>
          <w:szCs w:val="20"/>
          <w:color w:val="auto"/>
        </w:rPr>
      </w:pPr>
    </w:p>
    <w:tbl>
      <w:tblPr>
        <w:tblLayout w:type="fixed"/>
        <w:tblInd w:w="6" w:type="dxa"/>
        <w:tblCellMar>
          <w:top w:w="0" w:type="dxa"/>
          <w:left w:w="0" w:type="dxa"/>
          <w:bottom w:w="0" w:type="dxa"/>
          <w:right w:w="0" w:type="dxa"/>
        </w:tblCellMar>
      </w:tblPr>
      <w:tr>
        <w:trPr>
          <w:trHeight w:val="20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11. ACCRUED EXPENSES AND OTHER LIABILITIES</w:t>
            </w: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5"/>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Accrued expenses and other liabilities consisted of the following:</w:t>
            </w: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63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63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638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gridSpan w:val="2"/>
          </w:tcPr>
          <w:p>
            <w:pPr>
              <w:spacing w:after="0"/>
              <w:rPr>
                <w:sz w:val="16"/>
                <w:szCs w:val="16"/>
                <w:color w:val="auto"/>
              </w:rPr>
            </w:pPr>
          </w:p>
        </w:tc>
      </w:tr>
      <w:tr>
        <w:trPr>
          <w:trHeight w:val="18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Project Deposits</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3,995</w:t>
            </w:r>
          </w:p>
        </w:tc>
        <w:tc>
          <w:tcPr>
            <w:tcW w:w="22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shd w:val="clear" w:color="auto" w:fill="CCEEFF"/>
          </w:tcPr>
          <w:p>
            <w:pPr>
              <w:spacing w:after="0"/>
              <w:rPr>
                <w:sz w:val="16"/>
                <w:szCs w:val="16"/>
                <w:color w:val="auto"/>
              </w:rPr>
            </w:pPr>
          </w:p>
        </w:tc>
      </w:tr>
      <w:tr>
        <w:trPr>
          <w:trHeight w:val="188"/>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Value added taxes and other taxes payable</w:t>
            </w: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1,151</w:t>
            </w:r>
          </w:p>
        </w:tc>
        <w:tc>
          <w:tcPr>
            <w:tcW w:w="100" w:type="dxa"/>
            <w:vAlign w:val="bottom"/>
          </w:tcPr>
          <w:p>
            <w:pPr>
              <w:spacing w:after="0"/>
              <w:rPr>
                <w:sz w:val="16"/>
                <w:szCs w:val="16"/>
                <w:color w:val="auto"/>
              </w:rPr>
            </w:pPr>
          </w:p>
        </w:tc>
      </w:tr>
      <w:tr>
        <w:trPr>
          <w:trHeight w:val="223"/>
        </w:trPr>
        <w:tc>
          <w:tcPr>
            <w:tcW w:w="638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 xml:space="preserve">Contingent liabilities of GEM dispute </w:t>
            </w:r>
            <w:r>
              <w:rPr>
                <w:rFonts w:ascii="Times New Roman" w:cs="Times New Roman" w:eastAsia="Times New Roman" w:hAnsi="Times New Roman"/>
                <w:sz w:val="25"/>
                <w:szCs w:val="25"/>
                <w:color w:val="auto"/>
                <w:vertAlign w:val="superscript"/>
              </w:rPr>
              <w:t>(1)</w:t>
            </w:r>
          </w:p>
        </w:tc>
        <w:tc>
          <w:tcPr>
            <w:tcW w:w="2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r>
      <w:tr>
        <w:trPr>
          <w:trHeight w:val="188"/>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Payroll payable</w:t>
            </w:r>
          </w:p>
        </w:tc>
        <w:tc>
          <w:tcPr>
            <w:tcW w:w="2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746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790</w:t>
            </w:r>
          </w:p>
        </w:tc>
      </w:tr>
      <w:tr>
        <w:trPr>
          <w:trHeight w:val="21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2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898</w:t>
            </w:r>
          </w:p>
        </w:tc>
      </w:tr>
      <w:tr>
        <w:trPr>
          <w:trHeight w:val="175"/>
        </w:trPr>
        <w:tc>
          <w:tcPr>
            <w:tcW w:w="638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accrued expenses and other liabilities</w:t>
            </w:r>
          </w:p>
        </w:tc>
        <w:tc>
          <w:tcPr>
            <w:tcW w:w="2300" w:type="dxa"/>
            <w:vAlign w:val="bottom"/>
            <w:tcBorders>
              <w:top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10,697</w:t>
            </w:r>
          </w:p>
        </w:tc>
        <w:tc>
          <w:tcPr>
            <w:tcW w:w="22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6,089</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6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6" w:hanging="286"/>
        <w:spacing w:after="0"/>
        <w:tabs>
          <w:tab w:leader="none" w:pos="286"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of GEM dispute represented the amount payable in connection with the GEM dispute, which was fully paid by the Group as of March 31, 2026.</w:t>
      </w:r>
    </w:p>
    <w:p>
      <w:pPr>
        <w:spacing w:after="0" w:line="189" w:lineRule="exact"/>
        <w:rPr>
          <w:rFonts w:ascii="Times New Roman" w:cs="Times New Roman" w:eastAsia="Times New Roman" w:hAnsi="Times New Roman"/>
          <w:sz w:val="16"/>
          <w:szCs w:val="16"/>
          <w:color w:val="auto"/>
        </w:rPr>
      </w:pPr>
    </w:p>
    <w:p>
      <w:pPr>
        <w:ind w:left="286" w:hanging="282"/>
        <w:spacing w:after="0"/>
        <w:tabs>
          <w:tab w:leader="none" w:pos="286" w:val="left"/>
        </w:tabs>
        <w:numPr>
          <w:ilvl w:val="1"/>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93" w:lineRule="exact"/>
        <w:rPr>
          <w:sz w:val="20"/>
          <w:szCs w:val="20"/>
          <w:color w:val="auto"/>
        </w:rPr>
      </w:pPr>
    </w:p>
    <w:p>
      <w:pPr>
        <w:jc w:val="both"/>
        <w:ind w:left="6"/>
        <w:spacing w:after="0" w:line="257" w:lineRule="auto"/>
        <w:rPr>
          <w:sz w:val="20"/>
          <w:szCs w:val="20"/>
          <w:color w:val="auto"/>
        </w:rPr>
      </w:pPr>
      <w:r>
        <w:rPr>
          <w:rFonts w:ascii="Times New Roman" w:cs="Times New Roman" w:eastAsia="Times New Roman" w:hAnsi="Times New Roman"/>
          <w:sz w:val="16"/>
          <w:szCs w:val="16"/>
          <w:color w:val="auto"/>
        </w:rPr>
        <w:t>The Group has entered into operating lease agreements for certain offices, which are substantially located in PRC. The Group determines if an arrangement is a lease, or contains a lease, at inception and record the leases in the consolidated financial statements upon lease commencement, which is the date when the lessor makes the underlying asset available for use by the lessee.</w:t>
      </w:r>
    </w:p>
    <w:p>
      <w:pPr>
        <w:spacing w:after="0" w:line="1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balances for the operating leases where the Group is the lessee are presented as follows within the consolidated balance sheets: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4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 current</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835</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 non-current</w:t>
            </w: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1,157</w:t>
            </w:r>
          </w:p>
        </w:tc>
        <w:tc>
          <w:tcPr>
            <w:tcW w:w="0" w:type="dxa"/>
            <w:vAlign w:val="bottom"/>
          </w:tcPr>
          <w:p>
            <w:pPr>
              <w:spacing w:after="0"/>
              <w:rPr>
                <w:sz w:val="1"/>
                <w:szCs w:val="1"/>
                <w:color w:val="auto"/>
              </w:rPr>
            </w:pPr>
          </w:p>
        </w:tc>
      </w:tr>
      <w:tr>
        <w:trPr>
          <w:trHeight w:val="191"/>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components of lease expenses were as follows:</w:t>
            </w: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340" w:type="dxa"/>
            <w:vAlign w:val="bottom"/>
            <w:vMerge w:val="continue"/>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Lease cost</w:t>
            </w: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4340" w:type="dxa"/>
            <w:vAlign w:val="bottom"/>
            <w:vMerge w:val="continue"/>
          </w:tcPr>
          <w:p>
            <w:pPr>
              <w:spacing w:after="0"/>
              <w:rPr>
                <w:sz w:val="14"/>
                <w:szCs w:val="14"/>
                <w:color w:val="auto"/>
              </w:rPr>
            </w:pPr>
          </w:p>
        </w:tc>
        <w:tc>
          <w:tcPr>
            <w:tcW w:w="4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4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229</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Interest of operating lease liabilities</w:t>
            </w: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1"/>
        </w:trPr>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w:t>
            </w:r>
          </w:p>
        </w:tc>
        <w:tc>
          <w:tcPr>
            <w:tcW w:w="4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43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2"/>
          </w:tcPr>
          <w:p>
            <w:pPr>
              <w:jc w:val="right"/>
              <w:ind w:right="2922"/>
              <w:spacing w:after="0"/>
              <w:rPr>
                <w:sz w:val="20"/>
                <w:szCs w:val="20"/>
                <w:color w:val="auto"/>
              </w:rPr>
            </w:pPr>
            <w:r>
              <w:rPr>
                <w:rFonts w:ascii="Times New Roman" w:cs="Times New Roman" w:eastAsia="Times New Roman" w:hAnsi="Times New Roman"/>
                <w:sz w:val="16"/>
                <w:szCs w:val="16"/>
                <w:color w:val="auto"/>
              </w:rPr>
              <w:t>F-19</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778" w:right="3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For the three months ended March 31, 2025 and 2026, the short-term lease expenses amounted to $40 and $40, respectively.</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5"/>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Other information related to leases where the Group is the lessee is as follows: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640" w:type="dxa"/>
            <w:vAlign w:val="bottom"/>
          </w:tcPr>
          <w:p>
            <w:pPr>
              <w:spacing w:after="0"/>
              <w:rPr>
                <w:sz w:val="24"/>
                <w:szCs w:val="24"/>
                <w:color w:val="auto"/>
              </w:rPr>
            </w:pPr>
          </w:p>
        </w:tc>
        <w:tc>
          <w:tcPr>
            <w:tcW w:w="262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r>
      <w:tr>
        <w:trPr>
          <w:trHeight w:val="210"/>
        </w:trPr>
        <w:tc>
          <w:tcPr>
            <w:tcW w:w="8640" w:type="dxa"/>
            <w:vAlign w:val="bottom"/>
          </w:tcPr>
          <w:p>
            <w:pPr>
              <w:spacing w:after="0"/>
              <w:rPr>
                <w:sz w:val="18"/>
                <w:szCs w:val="18"/>
                <w:color w:val="auto"/>
              </w:rPr>
            </w:pPr>
          </w:p>
        </w:tc>
        <w:tc>
          <w:tcPr>
            <w:tcW w:w="2620" w:type="dxa"/>
            <w:vAlign w:val="bottom"/>
            <w:gridSpan w:val="9"/>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3"/>
        </w:trPr>
        <w:tc>
          <w:tcPr>
            <w:tcW w:w="86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86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12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w w:val="99"/>
              </w:rPr>
              <w:t>2.23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26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w w:val="96"/>
              </w:rPr>
              <w:t>4.30%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ind w:left="700"/>
              <w:spacing w:after="0"/>
              <w:rPr>
                <w:sz w:val="20"/>
                <w:szCs w:val="20"/>
                <w:color w:val="auto"/>
              </w:rPr>
            </w:pPr>
            <w:r>
              <w:rPr>
                <w:rFonts w:ascii="Times New Roman" w:cs="Times New Roman" w:eastAsia="Times New Roman" w:hAnsi="Times New Roman"/>
                <w:sz w:val="16"/>
                <w:szCs w:val="16"/>
                <w:color w:val="auto"/>
                <w:w w:val="96"/>
              </w:rPr>
              <w:t>3.51%</w:t>
            </w:r>
          </w:p>
        </w:tc>
      </w:tr>
      <w:tr>
        <w:trPr>
          <w:trHeight w:val="359"/>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As of March 31, 2026, the following is a schedule of future minimum payments under the Group’s operating leases: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8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r>
      <w:tr>
        <w:trPr>
          <w:trHeight w:val="210"/>
        </w:trPr>
        <w:tc>
          <w:tcPr>
            <w:tcW w:w="8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calendar year ended March 31,</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Leases</w:t>
            </w:r>
          </w:p>
        </w:tc>
      </w:tr>
      <w:tr>
        <w:trPr>
          <w:trHeight w:val="188"/>
        </w:trPr>
        <w:tc>
          <w:tcPr>
            <w:tcW w:w="8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of 2026</w:t>
            </w:r>
          </w:p>
        </w:tc>
        <w:tc>
          <w:tcPr>
            <w:tcW w:w="11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Borders>
              <w:top w:val="single" w:sz="8" w:color="CCEEFF"/>
            </w:tcBorders>
            <w:gridSpan w:val="2"/>
            <w:shd w:val="clear" w:color="auto" w:fill="CCEEFF"/>
          </w:tcPr>
          <w:p>
            <w:pPr>
              <w:spacing w:after="0"/>
              <w:rPr>
                <w:sz w:val="16"/>
                <w:szCs w:val="16"/>
                <w:color w:val="auto"/>
              </w:rPr>
            </w:pP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809</w:t>
            </w:r>
          </w:p>
        </w:tc>
      </w:tr>
      <w:tr>
        <w:trPr>
          <w:trHeight w:val="21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589</w:t>
            </w:r>
          </w:p>
        </w:tc>
      </w:tr>
      <w:tr>
        <w:trPr>
          <w:trHeight w:val="171"/>
        </w:trPr>
        <w:tc>
          <w:tcPr>
            <w:tcW w:w="86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 lease payments</w:t>
            </w:r>
          </w:p>
        </w:tc>
        <w:tc>
          <w:tcPr>
            <w:tcW w:w="1120" w:type="dxa"/>
            <w:vAlign w:val="bottom"/>
            <w:tcBorders>
              <w:top w:val="single" w:sz="8" w:color="CCEEFF"/>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auto"/>
              </w:rPr>
              <w:t>2,080</w:t>
            </w: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r>
      <w:tr>
        <w:trPr>
          <w:trHeight w:val="175"/>
        </w:trPr>
        <w:tc>
          <w:tcPr>
            <w:tcW w:w="864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gridSpan w:val="2"/>
          </w:tcPr>
          <w:p>
            <w:pPr>
              <w:jc w:val="right"/>
              <w:spacing w:after="0" w:line="171" w:lineRule="exact"/>
              <w:rPr>
                <w:sz w:val="20"/>
                <w:szCs w:val="20"/>
                <w:color w:val="auto"/>
              </w:rPr>
            </w:pPr>
            <w:r>
              <w:rPr>
                <w:rFonts w:ascii="Times New Roman" w:cs="Times New Roman" w:eastAsia="Times New Roman" w:hAnsi="Times New Roman"/>
                <w:sz w:val="16"/>
                <w:szCs w:val="16"/>
                <w:color w:val="auto"/>
              </w:rPr>
              <w:t>1,992</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
        </w:trPr>
        <w:tc>
          <w:tcPr>
            <w:tcW w:w="8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WARRANTS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GEM Warrant</w:t>
      </w:r>
    </w:p>
    <w:p>
      <w:pPr>
        <w:spacing w:after="0" w:line="19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6"/>
          <w:szCs w:val="16"/>
          <w:color w:val="auto"/>
        </w:rPr>
        <w:t>On November 4, 2022, Auto Services Group Limited entered into a Share Purchase Agreement (the “GEM Purchase Agreement”) with GEM Global Yield LLC SCS (“GEM Investor”) and GEM Yield Bahamas Limited (“GYBL”) relating to a share subscription facility. Pursuant to the GEM Purchase Agreement, Auto Services Group Limited has the right to sell to GEM Investor up to $125 million of its ordinary shares (the “GEM Shares”) for a 36-month period following a public listing of the Group’s ordinary shares (the “Investment Period”). GEM Investor would pay 90% of the average daily closing price during the pricing period, which is a 30-day period after SunCar turns a draw-down notice to GEM Investor.</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In addition, in connection with the execution of the GEM Purchase Agreement and as consideration for GEM Investor’s irrevocable commitment to purchase the GEM Shares, SunCar has agreed to make a warrant (the “GEM Warrants”) granting GYBL the right, during the Investment Period, to purchase the Group’s ordinary shares up to the equivalent of 3.3% of the total equity interests outstanding immediately after the completion of the Group’s public listing, calculated on a fully diluted basis. The exercise price of the GEM Warrant $11.50 per share in the case the Group consummates a merger transaction with GBRG and priced customarily in the absence of the consummation of such a merger. The GEM Warrant may be exercised only on cash basis.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After the Business Combination was completed in May 2023, SunCar Technology Group Inc. registered the GEM Shares and GEM Warrants for the GEM Investor pursuant to GEM Purchase Agreement. As of March 31, 2026, the Company did not sell any ordinary shares to GEM Investor pursuant to GEM Purchase Agreement. The Company issued 2,839,951 GEM Warrants with the exercise price of $11.50 per share. Each GEM Warrant is entitled to purchase one Class A Ordinary Share. The GEM Warrants were exercisable from May 17, 2023, and shall expire on the date of the third anniversary of the public listing date. As of the issuance date of the unaudited consolidated financial statements, the GEM Warrants expired unexercised.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21" w:name="page22"/>
    <w:bookmarkEnd w:id="21"/>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6"/>
          <w:szCs w:val="16"/>
          <w:color w:val="auto"/>
        </w:rPr>
        <w:t>The GEM Warrant met the criteria for equity classification. Pursuant to the GEM Purchase Agreement, the GEM Warrants were issued as consideration for GEM Investor’s irrevocable commitment to purchase the GEM Shares, and thus, the initial fair value of the warrants was recorded as prepaid financing expense, which was amortized within the Investment Period commencing from May 17, 2023 to May 17, 2026. The Group recognized financing expense of $149 and $149 for the three months ended March 31, 2025 and 2026.</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Public Warrant and Private Warrant</w:t>
      </w:r>
    </w:p>
    <w:p>
      <w:pPr>
        <w:spacing w:after="0" w:line="193"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16"/>
          <w:szCs w:val="16"/>
          <w:color w:val="auto"/>
        </w:rPr>
        <w:t>In connection with the Business Combination, the Company has assumed 6,100,000 warrants outstanding, which consisted of: (i) 5,750,000 warrants (the “Public Warrants”) with each Public Warrant exercisable to purchase one-half (1/2) of one Class A Ordinary Share at a price of $11.50 per share, such Public Warrants originally issued in the initial public offering of Goldenbridge by holders, and (ii) 350,000 warrants (the “Private Warrants”) with each Private Warrant exercisable to purchase one-half (1/2) of one Class A Ordinary Share at a price of $11.50 per share, such Private Warrants originally issued in a private placement by Goldenbridge in connection with the initial public offering of GBRG by the holders.</w:t>
      </w:r>
    </w:p>
    <w:p>
      <w:pPr>
        <w:spacing w:after="0" w:line="16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When the Public Warrants are exercisable, the Company may redeem the Public Warrants as a whole, and not in part, at a price of $0.01 per warrant:</w:t>
      </w:r>
    </w:p>
    <w:p>
      <w:pPr>
        <w:spacing w:after="0" w:line="191" w:lineRule="exact"/>
        <w:rPr>
          <w:sz w:val="20"/>
          <w:szCs w:val="20"/>
          <w:color w:val="auto"/>
        </w:rPr>
      </w:pPr>
    </w:p>
    <w:p>
      <w:pPr>
        <w:jc w:val="both"/>
        <w:ind w:left="282" w:right="20" w:hanging="282"/>
        <w:spacing w:after="0" w:line="257" w:lineRule="auto"/>
        <w:tabs>
          <w:tab w:leader="none" w:pos="2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and only if, the last reported sales price of the Class A Ordinary Shares equals or exceeds $16.50 per share (subject to adjustment for splits, dividends, recapitalizations and other similar events) for any 20 trading days within a 30-trading day period ending on the third business day prior to the date on which the Company send the notice of redemption to the warrant holders.</w:t>
      </w:r>
    </w:p>
    <w:p>
      <w:pPr>
        <w:spacing w:after="0" w:line="159"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 minimum of 30 days prior written notice of redemption.</w:t>
      </w:r>
    </w:p>
    <w:p>
      <w:pPr>
        <w:spacing w:after="0" w:line="191"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6"/>
          <w:szCs w:val="16"/>
          <w:color w:val="auto"/>
        </w:rPr>
        <w:t>If the foregoing conditions are satisfied and the Company would issue a notice of redemption, each Public Warrant holder can exercise his, her or its warrant prior to the scheduled redemption date. However, the price of the ordinary shares may fall below the $16.50 trigger price as well as the $11.50 warrant exercise price per full share after the redemption notice is issued and not limit our ability to complete the redemption.</w:t>
      </w:r>
    </w:p>
    <w:p>
      <w:pPr>
        <w:spacing w:after="0" w:line="160"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6"/>
          <w:szCs w:val="16"/>
          <w:color w:val="auto"/>
        </w:rPr>
        <w:t>The redemption criteria for the Public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spacing w:after="0" w:line="160" w:lineRule="exact"/>
        <w:rPr>
          <w:sz w:val="20"/>
          <w:szCs w:val="20"/>
          <w:color w:val="auto"/>
        </w:rPr>
      </w:pPr>
    </w:p>
    <w:p>
      <w:pPr>
        <w:jc w:val="both"/>
        <w:ind w:left="2" w:right="20"/>
        <w:spacing w:after="0" w:line="270" w:lineRule="auto"/>
        <w:rPr>
          <w:sz w:val="20"/>
          <w:szCs w:val="20"/>
          <w:color w:val="auto"/>
        </w:rPr>
      </w:pPr>
      <w:r>
        <w:rPr>
          <w:rFonts w:ascii="Times New Roman" w:cs="Times New Roman" w:eastAsia="Times New Roman" w:hAnsi="Times New Roman"/>
          <w:sz w:val="16"/>
          <w:szCs w:val="16"/>
          <w:color w:val="auto"/>
        </w:rPr>
        <w:t>Except as described below, the Private Warrants have terms and provisions that are identical to the Public Warrants. The Private Warrants will be non-redeemable and may be exercised on a cashless basis, in each case so long as they continue to be held by the initial purchaser or their permitted transferees.</w:t>
      </w:r>
    </w:p>
    <w:p>
      <w:pPr>
        <w:spacing w:after="0" w:line="149"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6"/>
          <w:szCs w:val="16"/>
          <w:color w:val="auto"/>
        </w:rPr>
        <w:t>The exercise period of Public Warrants and Private Warrants commence on the later to occur of (i) the completion of the Company’s initial business combination and (ii) 12 months following the closing of the Public Offering of GBRG, and terminating on earlier to occur if (i) five years after the completion of the initial business combination (May 17, 2028), and (ii) the date fixed for redemption of the Warrants.</w:t>
      </w:r>
    </w:p>
    <w:p>
      <w:pPr>
        <w:spacing w:after="0" w:line="160"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6"/>
          <w:szCs w:val="16"/>
          <w:color w:val="auto"/>
        </w:rPr>
        <w:t>The Public Warrants met the criteria for equity classification and are recorded as additional paid-in capital on the Consolidated Balance Sheet at the completion of the Business Combination. The Private Warrants contain exercise and settlement features that may change with a change in the holder, which precludes the Private Warrants from being indexed to the Company’s own stock. Therefore, the Private Warrants are recognized as warrant liabilities on Consolidated Balance Sheet at fair value, with subsequent changes in fair value recognized in the Consolidated Statement of Operations and Comprehensive Loss at each reporting date until exercised.</w:t>
      </w:r>
    </w:p>
    <w:p>
      <w:pPr>
        <w:spacing w:after="0" w:line="16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Warrant issued in the Follow-on Offering</w:t>
      </w:r>
    </w:p>
    <w:p>
      <w:pPr>
        <w:spacing w:after="0" w:line="193"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6"/>
          <w:szCs w:val="16"/>
          <w:color w:val="auto"/>
        </w:rPr>
        <w:t>As part of the Follow-on Offering, the Company agreed to issue to the Institutional Investors certain common warrants (“Common Warrants”) for the purchase of up to 3,850,857 Ordinary Shares at an exercise price of $9.00 per share. The Warrants are exercisable immediately after October 30, 2023, the date of issuance and will have a term of five years therefrom.</w:t>
      </w:r>
    </w:p>
    <w:p>
      <w:pPr>
        <w:spacing w:after="0" w:line="34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5010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2"/>
          </w:cols>
          <w:pgMar w:left="318" w:top="778" w:right="319" w:bottom="1440" w:gutter="0" w:footer="0" w:header="0"/>
        </w:sectPr>
      </w:pPr>
    </w:p>
    <w:bookmarkStart w:id="22" w:name="page23"/>
    <w:bookmarkEnd w:id="2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ind w:left="2"/>
        <w:spacing w:after="0" w:line="251" w:lineRule="auto"/>
        <w:rPr>
          <w:sz w:val="20"/>
          <w:szCs w:val="20"/>
          <w:color w:val="auto"/>
        </w:rPr>
      </w:pPr>
      <w:r>
        <w:rPr>
          <w:rFonts w:ascii="Times New Roman" w:cs="Times New Roman" w:eastAsia="Times New Roman" w:hAnsi="Times New Roman"/>
          <w:sz w:val="16"/>
          <w:szCs w:val="16"/>
          <w:color w:val="auto"/>
        </w:rPr>
        <w:t>The Company also entered into Placement Agency Agreement dated October 26, 2023 (the “Placement Agency Agreement”) with FT Global Capital, Inc., to act as exclusive placement agent in connection with the Follow-on Offering (the “Placement Agent”). The Company agreed to pay the Placement Agent a cash fee equal to 7.5% of the gross proceeds raised in the Follow-on Offering. In addition, the Company agreed to issue to the Placement Agent warrants (“PA Warrants”) to purchase a number of Ordinary Shares equal to 1% of the aggregate number of Ordinary Shares sold in the Follow-on Offering, at an exercise price equal to $10.225 per share. The number of PA Warrants issued to FT Global Capital, Inc. was 25,672.</w:t>
      </w:r>
    </w:p>
    <w:p>
      <w:pPr>
        <w:spacing w:after="0" w:line="164" w:lineRule="exact"/>
        <w:rPr>
          <w:sz w:val="20"/>
          <w:szCs w:val="20"/>
          <w:color w:val="auto"/>
        </w:rPr>
      </w:pPr>
    </w:p>
    <w:p>
      <w:pPr>
        <w:jc w:val="both"/>
        <w:ind w:left="2"/>
        <w:spacing w:after="0" w:line="270" w:lineRule="auto"/>
        <w:rPr>
          <w:sz w:val="20"/>
          <w:szCs w:val="20"/>
          <w:color w:val="auto"/>
        </w:rPr>
      </w:pPr>
      <w:r>
        <w:rPr>
          <w:rFonts w:ascii="Times New Roman" w:cs="Times New Roman" w:eastAsia="Times New Roman" w:hAnsi="Times New Roman"/>
          <w:sz w:val="16"/>
          <w:szCs w:val="16"/>
          <w:color w:val="auto"/>
        </w:rPr>
        <w:t>The Common Warrants and PA Warrants met the criteria for equity classification. The fair value of the Common Warrants and PA Warrants was $17,739, valued based on the Black-Scholes-Merton model and is recorded as additional paid-in capital from common stock on the relative fair value of net proceeds received.</w:t>
      </w:r>
    </w:p>
    <w:p>
      <w:pPr>
        <w:spacing w:after="0" w:line="14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table summarizes the assumptions of the initial fair value of warrants under Black-Scholes-Merton model:</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5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Public</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5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59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and</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88"/>
        </w:trPr>
        <w:tc>
          <w:tcPr>
            <w:tcW w:w="5920" w:type="dxa"/>
            <w:vAlign w:val="bottom"/>
          </w:tcPr>
          <w:p>
            <w:pPr>
              <w:spacing w:after="0"/>
              <w:rPr>
                <w:sz w:val="16"/>
                <w:szCs w:val="16"/>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GEM</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Private</w:t>
            </w: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PA</w:t>
            </w:r>
          </w:p>
        </w:tc>
      </w:tr>
      <w:tr>
        <w:trPr>
          <w:trHeight w:val="210"/>
        </w:trPr>
        <w:tc>
          <w:tcPr>
            <w:tcW w:w="59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5"/>
              </w:rPr>
              <w:t>Warrants</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Warrants</w:t>
            </w:r>
          </w:p>
        </w:tc>
      </w:tr>
      <w:tr>
        <w:trPr>
          <w:trHeight w:val="188"/>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Borders>
              <w:top w:val="single" w:sz="8" w:color="CCEEFF"/>
            </w:tcBorders>
            <w:shd w:val="clear" w:color="auto" w:fill="CCEEFF"/>
          </w:tcPr>
          <w:p>
            <w:pPr>
              <w:spacing w:after="0"/>
              <w:rPr>
                <w:sz w:val="16"/>
                <w:szCs w:val="16"/>
                <w:color w:val="auto"/>
              </w:rPr>
            </w:pPr>
          </w:p>
        </w:tc>
      </w:tr>
      <w:tr>
        <w:trPr>
          <w:trHeight w:val="188"/>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59.84%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59.84%</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63.84%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63.84%</w:t>
            </w:r>
          </w:p>
        </w:tc>
      </w:tr>
      <w:tr>
        <w:trPr>
          <w:trHeight w:val="188"/>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3.94%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w:t>
            </w:r>
          </w:p>
        </w:tc>
      </w:tr>
      <w:tr>
        <w:trPr>
          <w:trHeight w:val="203"/>
        </w:trPr>
        <w:tc>
          <w:tcPr>
            <w:tcW w:w="5920" w:type="dxa"/>
            <w:vAlign w:val="bottom"/>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bl>
    <w:p>
      <w:pPr>
        <w:spacing w:after="0" w:line="153" w:lineRule="exact"/>
        <w:rPr>
          <w:sz w:val="20"/>
          <w:szCs w:val="20"/>
          <w:color w:val="auto"/>
        </w:rPr>
      </w:pPr>
    </w:p>
    <w:p>
      <w:pPr>
        <w:ind w:left="282" w:hanging="282"/>
        <w:spacing w:after="0"/>
        <w:tabs>
          <w:tab w:leader="none" w:pos="282"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Expected term (in years)</w:t>
      </w:r>
    </w:p>
    <w:p>
      <w:pPr>
        <w:spacing w:after="0" w:line="193" w:lineRule="exact"/>
        <w:rPr>
          <w:rFonts w:ascii="Times New Roman" w:cs="Times New Roman" w:eastAsia="Times New Roman" w:hAnsi="Times New Roman"/>
          <w:sz w:val="16"/>
          <w:szCs w:val="16"/>
          <w:i w:val="1"/>
          <w:iCs w:val="1"/>
          <w:color w:val="auto"/>
        </w:rPr>
      </w:pPr>
    </w:p>
    <w:p>
      <w:pPr>
        <w:ind w:left="282"/>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Expected term (in years) of the warrants is extracted from warrant agreements.</w:t>
      </w:r>
    </w:p>
    <w:p>
      <w:pPr>
        <w:spacing w:after="0" w:line="189" w:lineRule="exact"/>
        <w:rPr>
          <w:rFonts w:ascii="Times New Roman" w:cs="Times New Roman" w:eastAsia="Times New Roman" w:hAnsi="Times New Roman"/>
          <w:sz w:val="16"/>
          <w:szCs w:val="16"/>
          <w:i w:val="1"/>
          <w:iCs w:val="1"/>
          <w:color w:val="auto"/>
        </w:rPr>
      </w:pPr>
    </w:p>
    <w:p>
      <w:pPr>
        <w:ind w:left="282" w:hanging="282"/>
        <w:spacing w:after="0"/>
        <w:tabs>
          <w:tab w:leader="none" w:pos="282"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Volatility</w:t>
      </w:r>
    </w:p>
    <w:p>
      <w:pPr>
        <w:spacing w:after="0" w:line="193" w:lineRule="exact"/>
        <w:rPr>
          <w:rFonts w:ascii="Times New Roman" w:cs="Times New Roman" w:eastAsia="Times New Roman" w:hAnsi="Times New Roman"/>
          <w:sz w:val="16"/>
          <w:szCs w:val="16"/>
          <w:i w:val="1"/>
          <w:iCs w:val="1"/>
          <w:color w:val="auto"/>
        </w:rPr>
      </w:pPr>
    </w:p>
    <w:p>
      <w:pPr>
        <w:ind w:left="282"/>
        <w:spacing w:after="0" w:line="270"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volatility of the underlying ordinary shares during the lives of the warrants was estimated based on the historical stock price volatility of comparable listed companies over a period comparable to the expected term of the options.</w:t>
      </w:r>
    </w:p>
    <w:p>
      <w:pPr>
        <w:spacing w:after="0" w:line="147" w:lineRule="exact"/>
        <w:rPr>
          <w:rFonts w:ascii="Times New Roman" w:cs="Times New Roman" w:eastAsia="Times New Roman" w:hAnsi="Times New Roman"/>
          <w:sz w:val="16"/>
          <w:szCs w:val="16"/>
          <w:i w:val="1"/>
          <w:iCs w:val="1"/>
          <w:color w:val="auto"/>
        </w:rPr>
      </w:pPr>
    </w:p>
    <w:p>
      <w:pPr>
        <w:ind w:left="282" w:hanging="282"/>
        <w:spacing w:after="0"/>
        <w:tabs>
          <w:tab w:leader="none" w:pos="282"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Risk-free interest rate</w:t>
      </w:r>
    </w:p>
    <w:p>
      <w:pPr>
        <w:spacing w:after="0" w:line="193" w:lineRule="exact"/>
        <w:rPr>
          <w:rFonts w:ascii="Times New Roman" w:cs="Times New Roman" w:eastAsia="Times New Roman" w:hAnsi="Times New Roman"/>
          <w:sz w:val="16"/>
          <w:szCs w:val="16"/>
          <w:i w:val="1"/>
          <w:iCs w:val="1"/>
          <w:color w:val="auto"/>
        </w:rPr>
      </w:pPr>
    </w:p>
    <w:p>
      <w:pPr>
        <w:ind w:left="282" w:right="20"/>
        <w:spacing w:after="0" w:line="270" w:lineRule="auto"/>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Risk-free interest rate was estimated based on the daily treasury long term rate of the U.S. Treasury Department with a maturity period close to the expected term of the warrants.</w:t>
      </w:r>
    </w:p>
    <w:p>
      <w:pPr>
        <w:spacing w:after="0" w:line="147" w:lineRule="exact"/>
        <w:rPr>
          <w:rFonts w:ascii="Times New Roman" w:cs="Times New Roman" w:eastAsia="Times New Roman" w:hAnsi="Times New Roman"/>
          <w:sz w:val="16"/>
          <w:szCs w:val="16"/>
          <w:i w:val="1"/>
          <w:iCs w:val="1"/>
          <w:color w:val="auto"/>
        </w:rPr>
      </w:pPr>
    </w:p>
    <w:p>
      <w:pPr>
        <w:ind w:left="282" w:hanging="282"/>
        <w:spacing w:after="0"/>
        <w:tabs>
          <w:tab w:leader="none" w:pos="282" w:val="left"/>
        </w:tabs>
        <w:numPr>
          <w:ilvl w:val="0"/>
          <w:numId w:val="2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Dividend yield</w:t>
      </w:r>
    </w:p>
    <w:p>
      <w:pPr>
        <w:spacing w:after="0" w:line="193" w:lineRule="exact"/>
        <w:rPr>
          <w:sz w:val="20"/>
          <w:szCs w:val="20"/>
          <w:color w:val="auto"/>
        </w:rPr>
      </w:pPr>
    </w:p>
    <w:p>
      <w:pPr>
        <w:ind w:left="282"/>
        <w:spacing w:after="0"/>
        <w:rPr>
          <w:sz w:val="20"/>
          <w:szCs w:val="20"/>
          <w:color w:val="auto"/>
        </w:rPr>
      </w:pPr>
      <w:r>
        <w:rPr>
          <w:rFonts w:ascii="Times New Roman" w:cs="Times New Roman" w:eastAsia="Times New Roman" w:hAnsi="Times New Roman"/>
          <w:sz w:val="16"/>
          <w:szCs w:val="16"/>
          <w:color w:val="auto"/>
        </w:rPr>
        <w:t>The dividend yield was estimated by the Group based on its expected dividend policy over the expected term of the warrants.</w:t>
      </w:r>
    </w:p>
    <w:p>
      <w:pPr>
        <w:spacing w:after="0" w:line="19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The table summarizes the status of warrants outstanding and exercisable as of March 31, 2026:</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88"/>
        </w:trPr>
        <w:tc>
          <w:tcPr>
            <w:tcW w:w="42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88"/>
        </w:trPr>
        <w:tc>
          <w:tcPr>
            <w:tcW w:w="42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Exercise</w:t>
            </w:r>
          </w:p>
        </w:tc>
      </w:tr>
      <w:tr>
        <w:trPr>
          <w:trHeight w:val="210"/>
        </w:trPr>
        <w:tc>
          <w:tcPr>
            <w:tcW w:w="42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Price</w:t>
            </w:r>
          </w:p>
        </w:tc>
      </w:tr>
      <w:tr>
        <w:trPr>
          <w:trHeight w:val="188"/>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outstanding, as of December 31, 2025</w:t>
            </w:r>
          </w:p>
        </w:tc>
        <w:tc>
          <w:tcPr>
            <w:tcW w:w="44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12,431,674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Warrants exercisable, as of December 31, 2025</w:t>
            </w:r>
          </w:p>
        </w:tc>
        <w:tc>
          <w:tcPr>
            <w:tcW w:w="57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12,431,674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10.72</w:t>
            </w:r>
          </w:p>
        </w:tc>
      </w:tr>
      <w:tr>
        <w:trPr>
          <w:trHeight w:val="188"/>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Issued</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Exercised</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5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75"/>
        </w:trPr>
        <w:tc>
          <w:tcPr>
            <w:tcW w:w="4220" w:type="dxa"/>
            <w:vAlign w:val="bottom"/>
            <w:tcBorders>
              <w:top w:val="single" w:sz="8" w:color="CCEEFF"/>
              <w:bottom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color w:val="auto"/>
              </w:rPr>
              <w:t>Warrants outstanding, as of March 31, 2026</w:t>
            </w:r>
          </w:p>
        </w:tc>
        <w:tc>
          <w:tcPr>
            <w:tcW w:w="4460" w:type="dxa"/>
            <w:vAlign w:val="bottom"/>
            <w:tcBorders>
              <w:top w:val="single" w:sz="8" w:color="CCEEFF"/>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12,431,674</w:t>
            </w:r>
          </w:p>
        </w:tc>
        <w:tc>
          <w:tcPr>
            <w:tcW w:w="10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10.72</w:t>
            </w:r>
          </w:p>
        </w:tc>
        <w:tc>
          <w:tcPr>
            <w:tcW w:w="120" w:type="dxa"/>
            <w:vAlign w:val="bottom"/>
            <w:tcBorders>
              <w:top w:val="single" w:sz="8" w:color="CCEEFF"/>
              <w:bottom w:val="single" w:sz="8" w:color="CCEEFF"/>
            </w:tcBorders>
          </w:tcPr>
          <w:p>
            <w:pPr>
              <w:spacing w:after="0"/>
              <w:rPr>
                <w:sz w:val="15"/>
                <w:szCs w:val="15"/>
                <w:color w:val="auto"/>
              </w:rPr>
            </w:pPr>
          </w:p>
        </w:tc>
      </w:tr>
      <w:tr>
        <w:trPr>
          <w:trHeight w:val="191"/>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Warrants exercisable, as of March 31, 2026</w:t>
            </w:r>
          </w:p>
        </w:tc>
        <w:tc>
          <w:tcPr>
            <w:tcW w:w="44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12,431,674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20"/>
        </w:trPr>
        <w:tc>
          <w:tcPr>
            <w:tcW w:w="42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2"/>
        </w:trPr>
        <w:tc>
          <w:tcPr>
            <w:tcW w:w="42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3"/>
          </w:tcPr>
          <w:p>
            <w:pPr>
              <w:ind w:left="1260"/>
              <w:spacing w:after="0"/>
              <w:rPr>
                <w:sz w:val="20"/>
                <w:szCs w:val="20"/>
                <w:color w:val="auto"/>
              </w:rPr>
            </w:pPr>
            <w:r>
              <w:rPr>
                <w:rFonts w:ascii="Times New Roman" w:cs="Times New Roman" w:eastAsia="Times New Roman" w:hAnsi="Times New Roman"/>
                <w:sz w:val="16"/>
                <w:szCs w:val="16"/>
                <w:color w:val="auto"/>
              </w:rPr>
              <w:t>F-22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2"/>
          </w:cols>
          <w:pgMar w:left="318" w:top="778" w:right="31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of March 31, 2026, the Company had 12,431,674 warrants outstanding to purchase 9,574,077 Class A Ordinary Shares with weighted average exercise price of $10.72 per share and remaining contractual lives of 1.81 years.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EQUITY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non-controlling interests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For the three months ended March 31, 2026, Suncar Online acquired 0.02% of equity interest of Shengda Automobile from non-controlling shareholders at the consideration of $63. The Group derecognized non-controlling interest of $38, and the difference between the purchase price and the carrying amount of the proportional net assets that acquired from non-controlling shareholders was charged against additional paid-in capital, which was $25.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TAXATION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Under the current laws of the Cayman Islands, the Group is not subject to tax on income or capital gain. Additionally, upon payments of dividends to the shareholders, no Cayman Islands withholding tax will be imposed.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19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According to Tax (Amendment) (No. 3) Ordinance 2018 published by Hong Kong government, form April 1, 2018, under the two-tiered profits tax rates regime, the profits tax rate for the first HKD 2 million of assessable profits will be lowered to 8.25% (half of the rate specified in Schedule 8 to the Inland Revenue Ordinance (IRO)) for corporations. China Auto Market was not subject to Hong Kong profit tax for any period presented as it did not have assessable profit during the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Generally, the Group’s subsidiaries, which are considered PRC resident enterprises under PRC tax law, are subject to enterprise income tax (“EIT”) on their worldwide taxable income as determined under PRC tax laws and accounting standards at a rate of 25%. The PRC EIT Law grants preferential tax treatment to qualified High and New Technology Enterprises (“HNTEs”), which are entitled to a reduced EIT rate of 15%, subject to the requirement that they renew their HNTE qualification every three years. The Group’s subsidiaries, Shengda Automobile and Shanghai Chengle Network Technology Co., Ltd., were approved as HNTEs and are entitled to a reduced EIT rate of 15% since November 2018 and renewed their HNTE certificates in December 2021 and December 2024. The certificates are valid for three years.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RMB3 million.</w:t>
      </w:r>
    </w:p>
    <w:p>
      <w:pPr>
        <w:sectPr>
          <w:pgSz w:w="11900" w:h="16838" w:orient="portrait"/>
          <w:cols w:equalWidth="0" w:num="1">
            <w:col w:w="11260"/>
          </w:cols>
          <w:pgMar w:left="320" w:top="778" w:right="319" w:bottom="1440" w:gutter="0" w:footer="0" w:header="0"/>
        </w:sectPr>
      </w:pP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income tax benefit consisted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Current 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Deferred income tax (benefit)/expense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Total income tax (benefit)/expense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41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10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2"/>
              <w:spacing w:after="0" w:line="171" w:lineRule="exact"/>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4"/>
                <w:szCs w:val="14"/>
                <w:color w:val="auto"/>
              </w:rPr>
            </w:pPr>
          </w:p>
        </w:tc>
      </w:tr>
      <w:tr>
        <w:trPr>
          <w:trHeight w:val="188"/>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20" w:type="dxa"/>
            <w:vAlign w:val="bottom"/>
          </w:tcPr>
          <w:p>
            <w:pPr>
              <w:spacing w:after="0"/>
              <w:rPr>
                <w:sz w:val="16"/>
                <w:szCs w:val="16"/>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119</w:t>
            </w:r>
          </w:p>
        </w:tc>
      </w:tr>
      <w:tr>
        <w:trPr>
          <w:trHeight w:val="219"/>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329</w:t>
            </w:r>
          </w:p>
        </w:tc>
      </w:tr>
      <w:tr>
        <w:trPr>
          <w:trHeight w:val="191"/>
        </w:trPr>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448</w:t>
            </w: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80"/>
          </w:cols>
          <w:pgMar w:left="320" w:top="778" w:right="319" w:bottom="1440" w:gutter="0" w:footer="0" w:header="0"/>
          <w:type w:val="continuous"/>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715010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w w:val="98"/>
              </w:rPr>
              <w:t>A reconciliation between the Group’s actual benefit for income taxes and the provision at the PRC, mainland statutory rate, is as follows:</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5"/>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3"/>
        </w:trPr>
        <w:tc>
          <w:tcPr>
            <w:tcW w:w="868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(Loss)/Income before income tax expense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(3,731)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Computed income tax benefit with statutory tax rate</w:t>
            </w:r>
          </w:p>
        </w:tc>
        <w:tc>
          <w:tcPr>
            <w:tcW w:w="8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deduction for research and development expenses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Tax effect of preferred tax rate</w:t>
            </w:r>
          </w:p>
        </w:tc>
        <w:tc>
          <w:tcPr>
            <w:tcW w:w="80" w:type="dxa"/>
            <w:vAlign w:val="bottom"/>
          </w:tcPr>
          <w:p>
            <w:pPr>
              <w:spacing w:after="0"/>
              <w:rPr>
                <w:sz w:val="16"/>
                <w:szCs w:val="16"/>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Tax effect of favorable tax rates on small-scale and low-profit entities</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Tax effect of non-deductible items</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 (benefit)/expense</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As of December 31, 2025 and March 31, 2026, the significant components of the deferred tax assets are summarized below:</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80" w:type="dxa"/>
            <w:vAlign w:val="bottom"/>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Temporary difference in accounts receivable recognition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Temporary difference in research and development costs</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Net operating loss carried forward</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6"/>
                <w:szCs w:val="16"/>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4,033</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8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25,750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26,537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Valuation allowance</w:t>
            </w:r>
          </w:p>
        </w:tc>
        <w:tc>
          <w:tcPr>
            <w:tcW w:w="80" w:type="dxa"/>
            <w:vAlign w:val="bottom"/>
          </w:tcPr>
          <w:p>
            <w:pPr>
              <w:spacing w:after="0"/>
              <w:rPr>
                <w:sz w:val="17"/>
                <w:szCs w:val="17"/>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(13,803)</w:t>
            </w:r>
          </w:p>
        </w:tc>
        <w:tc>
          <w:tcPr>
            <w:tcW w:w="12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(14,756)</w:t>
            </w:r>
          </w:p>
        </w:tc>
        <w:tc>
          <w:tcPr>
            <w:tcW w:w="0" w:type="dxa"/>
            <w:vAlign w:val="bottom"/>
          </w:tcPr>
          <w:p>
            <w:pPr>
              <w:spacing w:after="0"/>
              <w:rPr>
                <w:sz w:val="1"/>
                <w:szCs w:val="1"/>
                <w:color w:val="auto"/>
              </w:rPr>
            </w:pPr>
          </w:p>
        </w:tc>
      </w:tr>
      <w:tr>
        <w:trPr>
          <w:trHeight w:val="23"/>
        </w:trPr>
        <w:tc>
          <w:tcPr>
            <w:tcW w:w="868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 net of valuation allowance</w:t>
            </w: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tcBorders>
              <w:right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11,947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Changes in valuation allowance are as follows: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8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0"/>
        </w:trPr>
        <w:tc>
          <w:tcPr>
            <w:tcW w:w="8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the beginning of the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13,840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(Reversals)/Additions</w:t>
            </w:r>
          </w:p>
        </w:tc>
        <w:tc>
          <w:tcPr>
            <w:tcW w:w="80" w:type="dxa"/>
            <w:vAlign w:val="bottom"/>
          </w:tcPr>
          <w:p>
            <w:pPr>
              <w:spacing w:after="0"/>
              <w:rPr>
                <w:sz w:val="16"/>
                <w:szCs w:val="16"/>
                <w:color w:val="auto"/>
              </w:rPr>
            </w:pP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the end of the period</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13,803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As of December 31, 2025 and March 31, 2026, the Group had net operating loss carryforwards of approximately $49,376 and $50,916, respectively, which arose from the Group’s subsidiaries in the PRC. As of December 31, 2025 and March 31, 2026, the Group had net operating loss carryforwards of approximately $87,396 and $82,378, respectively, which arose from the Parent Company and the Group’s non-PRC subsidiaries. As of December 31, 2025 and March 31, 2026, deferred tax assets from the net operating loss carryforwards amounted to $11,961 and $12,896, respectively, and the Group has recorded valuation allowances of $13,803 and $14,756 as of December 31, 2025 and March 31, 2026, respectively. Full valuation allowances have been provided where, based on all available evidence, management determined that deferred tax assets are not more likely than not to be realizable in future tax years.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00" w:type="dxa"/>
            <w:vAlign w:val="bottom"/>
          </w:tcPr>
          <w:p>
            <w:pPr>
              <w:jc w:val="center"/>
              <w:ind w:left="1122"/>
              <w:spacing w:after="0"/>
              <w:rPr>
                <w:sz w:val="20"/>
                <w:szCs w:val="20"/>
                <w:color w:val="auto"/>
              </w:rPr>
            </w:pPr>
            <w:r>
              <w:rPr>
                <w:rFonts w:ascii="Times New Roman" w:cs="Times New Roman" w:eastAsia="Times New Roman" w:hAnsi="Times New Roman"/>
                <w:sz w:val="16"/>
                <w:szCs w:val="16"/>
                <w:b w:val="1"/>
                <w:bCs w:val="1"/>
                <w:color w:val="auto"/>
                <w:w w:val="97"/>
              </w:rPr>
              <w:t>SUNCAR TECHNOLOGY GROUP INC</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jc w:val="center"/>
              <w:ind w:left="1122"/>
              <w:spacing w:after="0"/>
              <w:rPr>
                <w:sz w:val="20"/>
                <w:szCs w:val="20"/>
                <w:color w:val="auto"/>
              </w:rPr>
            </w:pPr>
            <w:r>
              <w:rPr>
                <w:rFonts w:ascii="Times New Roman" w:cs="Times New Roman" w:eastAsia="Times New Roman" w:hAnsi="Times New Roman"/>
                <w:sz w:val="16"/>
                <w:szCs w:val="16"/>
                <w:b w:val="1"/>
                <w:bCs w:val="1"/>
                <w:color w:val="auto"/>
                <w:w w:val="96"/>
              </w:rPr>
              <w:t>NOTES TO UNAUDITED CONDENSED CONSOLIDATED FINANCIAL STATEMENTS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tcPr>
          <w:p>
            <w:pPr>
              <w:jc w:val="center"/>
              <w:ind w:left="1142"/>
              <w:spacing w:after="0"/>
              <w:rPr>
                <w:sz w:val="20"/>
                <w:szCs w:val="20"/>
                <w:color w:val="auto"/>
              </w:rPr>
            </w:pPr>
            <w:r>
              <w:rPr>
                <w:rFonts w:ascii="Times New Roman" w:cs="Times New Roman" w:eastAsia="Times New Roman" w:hAnsi="Times New Roman"/>
                <w:sz w:val="16"/>
                <w:szCs w:val="16"/>
                <w:b w:val="1"/>
                <w:bCs w:val="1"/>
                <w:color w:val="auto"/>
                <w:w w:val="97"/>
              </w:rPr>
              <w:t>(In U.S. Dollar thousands, except share and per share data)</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0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 of March 31, 2026, net operating loss carryforwards will expire, if unused, in the following amounts: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0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4,679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6"/>
                <w:szCs w:val="16"/>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17,419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7,062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6"/>
                <w:szCs w:val="16"/>
                <w:color w:val="auto"/>
              </w:rPr>
              <w:t>2031</w:t>
            </w:r>
          </w:p>
        </w:tc>
        <w:tc>
          <w:tcPr>
            <w:tcW w:w="3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Indefinite</w:t>
            </w: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82,378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0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Borders>
              <w:top w:val="single" w:sz="8" w:color="auto"/>
              <w:bottom w:val="single" w:sz="8" w:color="auto"/>
            </w:tcBorders>
          </w:tcPr>
          <w:p>
            <w:pPr>
              <w:jc w:val="right"/>
              <w:ind w:right="202"/>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136,891</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NET (LOSS)/INCOME PER SHARE</w:t>
      </w:r>
    </w:p>
    <w:p>
      <w:pPr>
        <w:spacing w:after="0" w:line="19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The following table sets forth the basic and diluted net (loss)/income per share computation and provides a reconciliation of the numerator and denominator for the periods presented: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6"/>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0"/>
        </w:trPr>
        <w:tc>
          <w:tcPr>
            <w:tcW w:w="7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right"/>
              <w:ind w:right="10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03"/>
        </w:trPr>
        <w:tc>
          <w:tcPr>
            <w:tcW w:w="7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3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34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(loss)/income attributable to the company’s ordinary shareholders</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(3,402)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Numerator for basic and diluted net (loss)/income per share calculation</w:t>
            </w: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ind w:right="4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340" w:type="dxa"/>
            <w:vAlign w:val="bottom"/>
            <w:vMerge w:val="continue"/>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(3,402</w:t>
            </w:r>
          </w:p>
        </w:tc>
        <w:tc>
          <w:tcPr>
            <w:tcW w:w="120" w:type="dxa"/>
            <w:vAlign w:val="bottom"/>
            <w:vMerge w:val="continue"/>
          </w:tcPr>
          <w:p>
            <w:pPr>
              <w:spacing w:after="0"/>
              <w:rPr>
                <w:sz w:val="20"/>
                <w:szCs w:val="20"/>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183"/>
        </w:trPr>
        <w:tc>
          <w:tcPr>
            <w:tcW w:w="734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102,432,043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102,009,359</w:t>
            </w:r>
          </w:p>
        </w:tc>
        <w:tc>
          <w:tcPr>
            <w:tcW w:w="0" w:type="dxa"/>
            <w:vAlign w:val="bottom"/>
          </w:tcPr>
          <w:p>
            <w:pPr>
              <w:spacing w:after="0"/>
              <w:rPr>
                <w:sz w:val="1"/>
                <w:szCs w:val="1"/>
                <w:color w:val="auto"/>
              </w:rPr>
            </w:pPr>
          </w:p>
        </w:tc>
      </w:tr>
      <w:tr>
        <w:trPr>
          <w:trHeight w:val="188"/>
        </w:trPr>
        <w:tc>
          <w:tcPr>
            <w:tcW w:w="7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the Company’s ordinary shareholders per ordinary share</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40" w:type="dxa"/>
            <w:vAlign w:val="bottom"/>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188"/>
        </w:trPr>
        <w:tc>
          <w:tcPr>
            <w:tcW w:w="73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(loss)/income attributable to the Company’s ordinary shareholders per ordinary share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and diluted</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(0.03)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0.01</w:t>
            </w:r>
          </w:p>
        </w:tc>
        <w:tc>
          <w:tcPr>
            <w:tcW w:w="0" w:type="dxa"/>
            <w:vAlign w:val="bottom"/>
          </w:tcPr>
          <w:p>
            <w:pPr>
              <w:spacing w:after="0"/>
              <w:rPr>
                <w:sz w:val="1"/>
                <w:szCs w:val="1"/>
                <w:color w:val="auto"/>
              </w:rPr>
            </w:pPr>
          </w:p>
        </w:tc>
      </w:tr>
      <w:tr>
        <w:trPr>
          <w:trHeight w:val="23"/>
        </w:trPr>
        <w:tc>
          <w:tcPr>
            <w:tcW w:w="7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For the three months ended March 31, 2025 and 2026, warrants were anti-dilutive and thus excluded from the calculation of diluted loss per share. The potential dilutive securities that were not included in the calculation of dilutive loss per share in three months ended March 31, 2025 and 2026 were 1,600,000 and 1,600,000,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RELATED PARTY TRANSACTIONS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sets forth the major related parties and their relationships with the Group as of December 31, 2025 and March 31, 2026: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22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r>
      <w:tr>
        <w:trPr>
          <w:trHeight w:val="171"/>
        </w:trPr>
        <w:tc>
          <w:tcPr>
            <w:tcW w:w="352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Shengda Group</w:t>
            </w:r>
          </w:p>
        </w:tc>
        <w:tc>
          <w:tcPr>
            <w:tcW w:w="2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w w:val="98"/>
              </w:rPr>
              <w:t>An entity ultimately controlled by Mr. Ye Zaichang, the Company’s Chief Executive</w:t>
            </w:r>
          </w:p>
        </w:tc>
      </w:tr>
      <w:tr>
        <w:trPr>
          <w:trHeight w:val="204"/>
        </w:trPr>
        <w:tc>
          <w:tcPr>
            <w:tcW w:w="35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Officer</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Mr. Lei Zhunfu</w:t>
            </w:r>
          </w:p>
        </w:tc>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Chief Technology Officer and Chief Operating Officer of the Company</w:t>
            </w:r>
          </w:p>
        </w:tc>
      </w:tr>
      <w:tr>
        <w:trPr>
          <w:trHeight w:val="551"/>
        </w:trPr>
        <w:tc>
          <w:tcPr>
            <w:tcW w:w="3520" w:type="dxa"/>
            <w:vAlign w:val="bottom"/>
            <w:tcBorders>
              <w:bottom w:val="single" w:sz="8" w:color="auto"/>
            </w:tcBorders>
          </w:tcPr>
          <w:p>
            <w:pPr>
              <w:spacing w:after="0"/>
              <w:rPr>
                <w:sz w:val="24"/>
                <w:szCs w:val="24"/>
                <w:color w:val="auto"/>
              </w:rPr>
            </w:pPr>
          </w:p>
        </w:tc>
        <w:tc>
          <w:tcPr>
            <w:tcW w:w="7740" w:type="dxa"/>
            <w:vAlign w:val="bottom"/>
            <w:tcBorders>
              <w:bottom w:val="single" w:sz="8" w:color="auto"/>
            </w:tcBorders>
            <w:gridSpan w:val="3"/>
          </w:tcPr>
          <w:p>
            <w:pPr>
              <w:ind w:left="1960"/>
              <w:spacing w:after="0"/>
              <w:rPr>
                <w:sz w:val="20"/>
                <w:szCs w:val="20"/>
                <w:color w:val="auto"/>
              </w:rPr>
            </w:pPr>
            <w:r>
              <w:rPr>
                <w:rFonts w:ascii="Times New Roman" w:cs="Times New Roman" w:eastAsia="Times New Roman" w:hAnsi="Times New Roman"/>
                <w:sz w:val="16"/>
                <w:szCs w:val="16"/>
                <w:color w:val="auto"/>
              </w:rPr>
              <w:t>F-25</w:t>
            </w:r>
          </w:p>
        </w:tc>
      </w:tr>
    </w:tbl>
    <w:p>
      <w:pPr>
        <w:sectPr>
          <w:pgSz w:w="11900" w:h="16838" w:orient="portrait"/>
          <w:cols w:equalWidth="0" w:num="1">
            <w:col w:w="11260"/>
          </w:cols>
          <w:pgMar w:left="320" w:top="778" w:right="319" w:bottom="1440" w:gutter="0" w:footer="0" w:header="0"/>
        </w:sectPr>
      </w:pPr>
    </w:p>
    <w:bookmarkStart w:id="26" w:name="page27"/>
    <w:bookmarkEnd w:id="26"/>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5"/>
          <w:szCs w:val="15"/>
          <w:b w:val="1"/>
          <w:bCs w:val="1"/>
          <w:color w:val="auto"/>
        </w:rPr>
        <w:t>NOTES TO UNAUDITED CONDENSED CONSOLIDATED FINANCIAL STATEMENTS</w:t>
      </w:r>
    </w:p>
    <w:p>
      <w:pPr>
        <w:spacing w:after="0" w:line="15"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Balances with related parties</w:t>
      </w:r>
    </w:p>
    <w:p>
      <w:pPr>
        <w:spacing w:after="0" w:line="19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Amount due to related parties</w:t>
      </w:r>
    </w:p>
    <w:p>
      <w:pPr>
        <w:sectPr>
          <w:pgSz w:w="11900" w:h="16838" w:orient="portrait"/>
          <w:cols w:equalWidth="0" w:num="1">
            <w:col w:w="11266"/>
          </w:cols>
          <w:pgMar w:left="314" w:top="77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Amount due to related parties, current</w:t>
      </w:r>
    </w:p>
    <w:p>
      <w:pPr>
        <w:ind w:left="6"/>
        <w:spacing w:after="0" w:line="196" w:lineRule="auto"/>
        <w:rPr>
          <w:sz w:val="20"/>
          <w:szCs w:val="20"/>
          <w:color w:val="auto"/>
        </w:rPr>
      </w:pPr>
      <w:r>
        <w:rPr>
          <w:rFonts w:ascii="Times New Roman" w:cs="Times New Roman" w:eastAsia="Times New Roman" w:hAnsi="Times New Roman"/>
          <w:sz w:val="16"/>
          <w:szCs w:val="16"/>
          <w:color w:val="auto"/>
        </w:rPr>
        <w:t xml:space="preserve">Other payables </w:t>
      </w:r>
      <w:r>
        <w:rPr>
          <w:rFonts w:ascii="Times New Roman" w:cs="Times New Roman" w:eastAsia="Times New Roman" w:hAnsi="Times New Roman"/>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150100" cy="1193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Shengda Group</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Mr. Lei Zhunfu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50100" cy="141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5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Amount due to a related party, non-current</w:t>
      </w:r>
    </w:p>
    <w:p>
      <w:pPr>
        <w:ind w:left="6"/>
        <w:spacing w:after="0" w:line="204" w:lineRule="auto"/>
        <w:rPr>
          <w:sz w:val="20"/>
          <w:szCs w:val="20"/>
          <w:color w:val="auto"/>
        </w:rPr>
      </w:pPr>
      <w:r>
        <w:rPr>
          <w:rFonts w:ascii="Times New Roman" w:cs="Times New Roman" w:eastAsia="Times New Roman" w:hAnsi="Times New Roman"/>
          <w:sz w:val="15"/>
          <w:szCs w:val="15"/>
          <w:color w:val="auto"/>
        </w:rPr>
        <w:t xml:space="preserve">Payables due to the transfer of SunCar Online </w:t>
      </w:r>
      <w:r>
        <w:rPr>
          <w:rFonts w:ascii="Times New Roman" w:cs="Times New Roman" w:eastAsia="Times New Roman" w:hAnsi="Times New Roman"/>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-141605</wp:posOffset>
            </wp:positionV>
            <wp:extent cx="7150100" cy="141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ind w:left="6"/>
        <w:spacing w:after="0"/>
        <w:rPr>
          <w:sz w:val="20"/>
          <w:szCs w:val="20"/>
          <w:color w:val="auto"/>
        </w:rPr>
      </w:pPr>
      <w:r>
        <w:rPr>
          <w:rFonts w:ascii="Times New Roman" w:cs="Times New Roman" w:eastAsia="Times New Roman" w:hAnsi="Times New Roman"/>
          <w:sz w:val="16"/>
          <w:szCs w:val="16"/>
          <w:color w:val="auto"/>
        </w:rPr>
        <w:t>Shengda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0100" cy="141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0100" cy="1416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199"/>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March 31,</w:t>
            </w:r>
          </w:p>
        </w:tc>
      </w:tr>
      <w:tr>
        <w:trPr>
          <w:trHeight w:val="210"/>
        </w:trPr>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20" w:type="dxa"/>
            <w:vAlign w:val="bottom"/>
          </w:tcPr>
          <w:p>
            <w:pPr>
              <w:spacing w:after="0"/>
              <w:rPr>
                <w:sz w:val="17"/>
                <w:szCs w:val="17"/>
                <w:color w:val="auto"/>
              </w:rPr>
            </w:pPr>
          </w:p>
        </w:tc>
      </w:tr>
      <w:tr>
        <w:trPr>
          <w:trHeight w:val="57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6,834</w:t>
            </w:r>
          </w:p>
        </w:tc>
        <w:tc>
          <w:tcPr>
            <w:tcW w:w="2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r>
      <w:tr>
        <w:trPr>
          <w:trHeight w:val="191"/>
        </w:trPr>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7,019</w:t>
            </w:r>
          </w:p>
        </w:tc>
        <w:tc>
          <w:tcPr>
            <w:tcW w:w="20" w:type="dxa"/>
            <w:vAlign w:val="bottom"/>
            <w:tcBorders>
              <w:top w:val="single" w:sz="8" w:color="auto"/>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9"/>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12,516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12,688</w:t>
            </w:r>
          </w:p>
        </w:tc>
      </w:tr>
      <w:tr>
        <w:trPr>
          <w:trHeight w:val="191"/>
        </w:trPr>
        <w:tc>
          <w:tcPr>
            <w:tcW w:w="20" w:type="dxa"/>
            <w:vAlign w:val="bottom"/>
          </w:tcPr>
          <w:p>
            <w:pPr>
              <w:spacing w:after="0"/>
              <w:rPr>
                <w:sz w:val="16"/>
                <w:szCs w:val="16"/>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12,688</w:t>
            </w:r>
          </w:p>
        </w:tc>
      </w:tr>
      <w:tr>
        <w:trPr>
          <w:trHeight w:val="20"/>
        </w:trPr>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966" w:space="720"/>
            <w:col w:w="2580"/>
          </w:cols>
          <w:pgMar w:left="314" w:top="778" w:right="319" w:bottom="1440" w:gutter="0" w:footer="0" w:header="0"/>
          <w:type w:val="continuous"/>
        </w:sectPr>
      </w:pPr>
    </w:p>
    <w:p>
      <w:pPr>
        <w:ind w:left="286" w:hanging="282"/>
        <w:spacing w:after="0"/>
        <w:tabs>
          <w:tab w:leader="none" w:pos="2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payables were for the ordinary course of operation, which were interest free, unsecure and could be settled on demand.</w:t>
      </w:r>
    </w:p>
    <w:p>
      <w:pPr>
        <w:spacing w:after="0" w:line="191" w:lineRule="exact"/>
        <w:rPr>
          <w:rFonts w:ascii="Times New Roman" w:cs="Times New Roman" w:eastAsia="Times New Roman" w:hAnsi="Times New Roman"/>
          <w:sz w:val="16"/>
          <w:szCs w:val="16"/>
          <w:color w:val="auto"/>
        </w:rPr>
      </w:pPr>
    </w:p>
    <w:p>
      <w:pPr>
        <w:jc w:val="both"/>
        <w:ind w:left="286" w:right="20" w:hanging="286"/>
        <w:spacing w:after="0" w:line="251" w:lineRule="auto"/>
        <w:tabs>
          <w:tab w:leader="none" w:pos="286"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 2021, Shengda Group transferred all of its equity interest, which was 55.09% as of the transfer date, of SunCar Online to Shanghai Feiyou, at price RMB4 per share, totaling RMB282 million. Upon completion of the transfer, Feiyou is liable to Shengda Group RMB282 million for the transfer of SunCar Online. As a result of the disposal of Shengda Group, Shengda Group became the related party of the Group, and the balance due to Shengda Group was presented as amount due to a related party. On March 1, 2022, the Group entered into a share purchase agreement (the “SPA”) with an affiliate of Mr. Ye to transfer the total equity of Shengda Group with the consideration of RMB 1. Pursuant to the SPA, the Group agreed to repay the debt owed to Shengda Group by full before June 1, 2023.</w:t>
      </w:r>
    </w:p>
    <w:p>
      <w:pPr>
        <w:spacing w:after="0" w:line="163" w:lineRule="exact"/>
        <w:rPr>
          <w:rFonts w:ascii="Times New Roman" w:cs="Times New Roman" w:eastAsia="Times New Roman" w:hAnsi="Times New Roman"/>
          <w:sz w:val="16"/>
          <w:szCs w:val="16"/>
          <w:color w:val="auto"/>
        </w:rPr>
      </w:pPr>
    </w:p>
    <w:p>
      <w:pPr>
        <w:jc w:val="both"/>
        <w:ind w:left="286" w:right="20"/>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2023, the Group negotiated with Shengda Group and consented to have an extension of payment to extend the repayment date to December 31, 2025, with annual interest rate of 1% from June 1, 2023 to December 31, 2025. In January 2025, the Group negotiated with Shengda Group and consented to have an extension of payment to extend the repayment date to December 31, 2028. Therefore, the Group reclassified the balance to non-current portion after the extension.</w:t>
      </w:r>
    </w:p>
    <w:p>
      <w:pPr>
        <w:spacing w:after="0" w:line="159" w:lineRule="exact"/>
        <w:rPr>
          <w:rFonts w:ascii="Times New Roman" w:cs="Times New Roman" w:eastAsia="Times New Roman" w:hAnsi="Times New Roman"/>
          <w:sz w:val="16"/>
          <w:szCs w:val="16"/>
          <w:color w:val="auto"/>
        </w:rPr>
      </w:pPr>
    </w:p>
    <w:p>
      <w:pPr>
        <w:ind w:left="286" w:right="520"/>
        <w:spacing w:after="0" w:line="4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years ended December 31, 2023, 2024 and 2025, the Group repaid debt owed to Shengda Group in an aggregate amount of approximately US$17.6 million. For the three months ended March 31, 2026, no repayment was made by the Group in respect of the debt owed to Shengda Group.</w:t>
      </w:r>
    </w:p>
    <w:p>
      <w:pPr>
        <w:spacing w:after="0" w:line="1" w:lineRule="exact"/>
        <w:rPr>
          <w:sz w:val="20"/>
          <w:szCs w:val="20"/>
          <w:color w:val="auto"/>
        </w:rPr>
      </w:pPr>
    </w:p>
    <w:p>
      <w:pPr>
        <w:ind w:left="286" w:right="20"/>
        <w:spacing w:after="0" w:line="270" w:lineRule="auto"/>
        <w:rPr>
          <w:sz w:val="20"/>
          <w:szCs w:val="20"/>
          <w:color w:val="auto"/>
        </w:rPr>
      </w:pPr>
      <w:r>
        <w:rPr>
          <w:rFonts w:ascii="Times New Roman" w:cs="Times New Roman" w:eastAsia="Times New Roman" w:hAnsi="Times New Roman"/>
          <w:sz w:val="16"/>
          <w:szCs w:val="16"/>
          <w:color w:val="auto"/>
        </w:rPr>
        <w:t>As of December 31, 2025 and March 31, 2026, payables due to Shengda Group in connection with the transfer of SunCar Online amounted to US$12,516 and US$12,688, respectively.</w:t>
      </w:r>
    </w:p>
    <w:p>
      <w:pPr>
        <w:spacing w:after="0" w:line="14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18. CONCENTRATION RISK</w:t>
      </w:r>
    </w:p>
    <w:p>
      <w:pPr>
        <w:spacing w:after="0" w:line="19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6"/>
          <w:szCs w:val="16"/>
          <w:color w:val="auto"/>
        </w:rPr>
        <w:t>Financial instruments that potentially expose the Group to concentrations of credit risk consist primarily of accounts receivable. The Group conducts credit evaluations of its customers and generally does not require collateral or other security from them. The Group evaluates its collection experience and long outstanding balances to determine the need for an allowance for credit losses. The Group conducts periodic reviews of the financial condition and payment practices of its customers to minimize collection risk on accounts receivable.</w:t>
      </w:r>
    </w:p>
    <w:p>
      <w:pPr>
        <w:spacing w:after="0" w:line="35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010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778" w:right="31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a summary of single customers who represent 10% or more of the Group’s total revenue.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40" w:type="dxa"/>
            <w:vAlign w:val="bottom"/>
          </w:tcPr>
          <w:p>
            <w:pPr>
              <w:spacing w:after="0"/>
              <w:rPr>
                <w:sz w:val="24"/>
                <w:szCs w:val="24"/>
                <w:color w:val="auto"/>
              </w:rPr>
            </w:pPr>
          </w:p>
        </w:tc>
        <w:tc>
          <w:tcPr>
            <w:tcW w:w="26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6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Percentage of the Group’s total revenue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86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Customer 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9"/>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a summary of single customers who represent 10% or more of the Group’s total accounts receivable: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4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9"/>
        </w:trPr>
        <w:tc>
          <w:tcPr>
            <w:tcW w:w="86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Percentage of the Group’s accounts receivable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(Audited)</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E</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Customer 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9"/>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sets forth a summary of each supplier who represent 10% or more of the Group’s total purchase: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640" w:type="dxa"/>
            <w:vAlign w:val="bottom"/>
          </w:tcPr>
          <w:p>
            <w:pPr>
              <w:spacing w:after="0"/>
              <w:rPr>
                <w:sz w:val="24"/>
                <w:szCs w:val="24"/>
                <w:color w:val="auto"/>
              </w:rPr>
            </w:pPr>
          </w:p>
        </w:tc>
        <w:tc>
          <w:tcPr>
            <w:tcW w:w="26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62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Percentage of the Group’s total purchase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6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Supplier A</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Supplier B</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8"/>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Supplier C</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20"/>
                <w:szCs w:val="20"/>
                <w:color w:val="auto"/>
              </w:rPr>
            </w:pPr>
            <w:r>
              <w:rPr>
                <w:rFonts w:ascii="Times New Roman" w:cs="Times New Roman" w:eastAsia="Times New Roman" w:hAnsi="Times New Roman"/>
                <w:sz w:val="16"/>
                <w:szCs w:val="16"/>
                <w:color w:val="auto"/>
              </w:rPr>
              <w:t>Supplier D</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represent percentage less than 10%</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 Commitments</w:t>
      </w:r>
    </w:p>
    <w:p>
      <w:pPr>
        <w:spacing w:after="0" w:line="19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The total future minimum lease payments of property management fee and short-term lease under the non-cancellable operating lease with respect to the office as of March 31, 2026 are payable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6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Lease</w:t>
            </w:r>
          </w:p>
        </w:tc>
      </w:tr>
      <w:tr>
        <w:trPr>
          <w:trHeight w:val="210"/>
        </w:trPr>
        <w:tc>
          <w:tcPr>
            <w:tcW w:w="316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Commitment</w:t>
            </w:r>
          </w:p>
        </w:tc>
      </w:tr>
      <w:tr>
        <w:trPr>
          <w:trHeight w:val="208"/>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1 year</w:t>
            </w:r>
          </w:p>
        </w:tc>
        <w:tc>
          <w:tcPr>
            <w:tcW w:w="68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3160" w:type="dxa"/>
            <w:vAlign w:val="bottom"/>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68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48</w:t>
            </w:r>
          </w:p>
        </w:tc>
        <w:tc>
          <w:tcPr>
            <w:tcW w:w="120" w:type="dxa"/>
            <w:vAlign w:val="bottom"/>
          </w:tcPr>
          <w:p>
            <w:pPr>
              <w:spacing w:after="0"/>
              <w:rPr>
                <w:sz w:val="15"/>
                <w:szCs w:val="15"/>
                <w:color w:val="auto"/>
              </w:rPr>
            </w:pPr>
          </w:p>
        </w:tc>
      </w:tr>
      <w:tr>
        <w:trPr>
          <w:trHeight w:val="20"/>
        </w:trPr>
        <w:tc>
          <w:tcPr>
            <w:tcW w:w="3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62"/>
        </w:trPr>
        <w:tc>
          <w:tcPr>
            <w:tcW w:w="31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2"/>
          </w:tcPr>
          <w:p>
            <w:pPr>
              <w:jc w:val="right"/>
              <w:ind w:right="4262"/>
              <w:spacing w:after="0"/>
              <w:rPr>
                <w:sz w:val="20"/>
                <w:szCs w:val="20"/>
                <w:color w:val="auto"/>
              </w:rPr>
            </w:pPr>
            <w:r>
              <w:rPr>
                <w:rFonts w:ascii="Times New Roman" w:cs="Times New Roman" w:eastAsia="Times New Roman" w:hAnsi="Times New Roman"/>
                <w:sz w:val="16"/>
                <w:szCs w:val="16"/>
                <w:color w:val="auto"/>
              </w:rPr>
              <w:t>F-27</w:t>
            </w: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78"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SUNCAR TECHNOLOGY GROUP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UNAUDITED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U.S. Dollar thousands, except share and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9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the ordinary course of business, the Group may be subject to legal proceedings regarding contractual and employment relationships and a variety of other matters. The Group records contingent liabilities resulting from such claims, when a loss is assessed to be probable and the amount of the loss is reasonably estimable.</w:t>
      </w:r>
    </w:p>
    <w:p>
      <w:pPr>
        <w:spacing w:after="0" w:line="1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As of March 31, 2026 and the issuance date of the unaudited consolidated financial statements, the claim against Shengda Group (see Note 1) has not been resolved. The Group evaluated that Shanghai Feiyou’s equity interest in SunCar Online may have been reduced to approximately 47.95% as of the issuance date. However, pursuant to certain concerted action arrangements between Shanghai Feiyou and other shareholders, which collectively hold an aggregate equity interest of approximately 51.00% in SunCar Online, the Group believes that Shanghai Feiyou continues to maintain effective control over SunCar Online. Accordingly, the Group does not expect the outcome of this dispute to have a material impact on its consolidated financial statements.</w:t>
      </w:r>
    </w:p>
    <w:p>
      <w:pPr>
        <w:spacing w:after="0" w:line="164"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Except for the event mentioned above, in the opinion of management, there were no other pending or threatened claims and litigation as of March 31, 2026 and through the issuance date of these unaudited condensed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commitments</w:t>
      </w:r>
    </w:p>
    <w:p>
      <w:pPr>
        <w:spacing w:after="0" w:line="19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The Group’s capital commitments primarily relate to commitments on purchase of other cloud infrastructure and artificial intelligence platform. Total capital commitment contracted but not yet reflected in the consolidated financial statements as of March 31, 2026 was $31,723, which was expected to be paid within one year of March 31, 2026.</w:t>
      </w:r>
    </w:p>
    <w:p>
      <w:pPr>
        <w:spacing w:after="0" w:line="1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20.</w:t>
      </w:r>
      <w:r>
        <w:rPr>
          <w:sz w:val="20"/>
          <w:szCs w:val="20"/>
          <w:color w:val="auto"/>
        </w:rPr>
        <w:tab/>
      </w:r>
      <w:r>
        <w:rPr>
          <w:rFonts w:ascii="Times New Roman" w:cs="Times New Roman" w:eastAsia="Times New Roman" w:hAnsi="Times New Roman"/>
          <w:sz w:val="15"/>
          <w:szCs w:val="15"/>
          <w:b w:val="1"/>
          <w:bCs w:val="1"/>
          <w:color w:val="auto"/>
        </w:rPr>
        <w:t>SUBSEQUENT EVENTS</w:t>
      </w:r>
    </w:p>
    <w:p>
      <w:pPr>
        <w:spacing w:after="0" w:line="19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The Company has evaluated the impact of events that have occurred subsequent to March 31, 2026, through the issuance date, May 27, 2026, of the unaudited consolidated financial statements, and did not identify any subsequent events occurred that would require recognition in the unaudited consolidated financial statements or disclosure in the notes to the unaudited consolidated financial statements.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6"/>
          <w:szCs w:val="16"/>
          <w:b w:val="1"/>
          <w:bCs w:val="1"/>
          <w:color w:val="auto"/>
        </w:rPr>
        <w:t>OPERATING AND FINANCIAL REVIEW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Operating Results</w:t>
      </w:r>
    </w:p>
    <w:p>
      <w:pPr>
        <w:spacing w:after="0" w:line="191" w:lineRule="exact"/>
        <w:rPr>
          <w:sz w:val="20"/>
          <w:szCs w:val="20"/>
          <w:color w:val="auto"/>
        </w:rPr>
      </w:pPr>
    </w:p>
    <w:p>
      <w:pPr>
        <w:jc w:val="both"/>
        <w:ind w:firstLine="563"/>
        <w:spacing w:after="0" w:line="254" w:lineRule="auto"/>
        <w:rPr>
          <w:sz w:val="20"/>
          <w:szCs w:val="20"/>
          <w:color w:val="auto"/>
        </w:rPr>
      </w:pPr>
      <w:r>
        <w:rPr>
          <w:rFonts w:ascii="Times New Roman" w:cs="Times New Roman" w:eastAsia="Times New Roman" w:hAnsi="Times New Roman"/>
          <w:sz w:val="16"/>
          <w:szCs w:val="16"/>
          <w:i w:val="1"/>
          <w:iCs w:val="1"/>
          <w:color w:val="auto"/>
        </w:rPr>
        <w:t>You should read the following discussion and analysis of our financial condition and results of operations in conjunction with our unaudited condensed consolidated financial statements and the related notes included elsewhere in Form 6-K. This discussion contains forward-looking statements that involve risks and uncertainties. Our actual results and the timing of events could differ materially from those anticipated in these forward-looking statements as a result of various factors, including those set forth under “Risk Factors” and elsewhere in the Form 20-F for the year ended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Overview</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are a leading provider of cloud and mobile app-based auto eInsurance services, technology services, and auto services in China.</w:t>
      </w:r>
    </w:p>
    <w:p>
      <w:pPr>
        <w:spacing w:after="0" w:line="191"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For our auto eInsurance business, we facilitate the sale of auto insurance products underwritten by major insurance companies in China. We receive commissions from these insurance companies, which are typically a percentage of the premium paid by the policy holders. We implement, automate, and streamline the insurance purchasing process through our proprietary cloud and mobile apps which connect our customers to the full spectrum of products from the leading insurers in China. The auto insurance premiums for EVs increased from US$361.0 million for the three months ended March 31, 2025 to US$514.4 million for the three months ended March 31, 2026, representing a year-over-year growth of 42.5%. Therefore, the revenue from EV insurance services amounted to US$22.6 million for the three months ended March 31, 2026, as compared to US$16.5 million for the three months ended March 31, 2025, representing a significant increase of 37.1%.</w:t>
      </w:r>
    </w:p>
    <w:p>
      <w:pPr>
        <w:spacing w:after="0" w:line="168"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We operate our technology services business by providing software solutions and consulting services related to auto eInsurance and auto services. We have built modular software tools, such as customer relationship management (CRM), order management, finance management, and visual analysis systems, which run on our proprietary hybrid cloud platform. Our insurance sales partners and auto services providers use all or some of these online tools to manage their daily work, allowing them the opportunity to monetize the software we have built.</w:t>
      </w:r>
    </w:p>
    <w:p>
      <w:pPr>
        <w:spacing w:after="0" w:line="163"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We operate our auto service business by offering customized auto services to our enterprise customers (our “auto service partners”), which include major banks, insurance companies, and other enterprises that have end customer demands for auto services. These auto services include necessary maintenance as well as regular detailing services. Our auto services are ultimately provided to end-consumers of our enterprise customers by the auto service providers we select to be suppliers on our service network.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Factors Impacting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Relationships with Customers</w:t>
      </w:r>
    </w:p>
    <w:p>
      <w:pPr>
        <w:spacing w:after="0" w:line="193" w:lineRule="exact"/>
        <w:rPr>
          <w:sz w:val="20"/>
          <w:szCs w:val="20"/>
          <w:color w:val="auto"/>
        </w:rPr>
      </w:pPr>
    </w:p>
    <w:p>
      <w:pPr>
        <w:jc w:val="both"/>
        <w:ind w:right="20" w:firstLine="563"/>
        <w:spacing w:after="0" w:line="251" w:lineRule="auto"/>
        <w:rPr>
          <w:sz w:val="20"/>
          <w:szCs w:val="20"/>
          <w:color w:val="auto"/>
        </w:rPr>
      </w:pPr>
      <w:r>
        <w:rPr>
          <w:rFonts w:ascii="Times New Roman" w:cs="Times New Roman" w:eastAsia="Times New Roman" w:hAnsi="Times New Roman"/>
          <w:sz w:val="16"/>
          <w:szCs w:val="16"/>
          <w:color w:val="auto"/>
        </w:rPr>
        <w:t>For our auto eInsurance business, we distribute auto insurance products on behalf of well-known insurance companies in China. For our auto service business, our customers are enterprises, primarily consisting of banks, insurance companies, telecom companies, airlines and other large corporations. It is critical for us to maintain good relationships and obtain recognition from both our enterprise customers and their end customers. We focus on growing our business, building our brand influence, and improving the quality of service in order to attract new customers, solidify relationships with existing customers, and deliver satisfactory service experience to the end-consumers. Positive feedback from the end-consumers encourages our customers to deepen their business relations with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Cooperation with Service Providers</w:t>
      </w:r>
    </w:p>
    <w:p>
      <w:pPr>
        <w:spacing w:after="0" w:line="193" w:lineRule="exact"/>
        <w:rPr>
          <w:sz w:val="20"/>
          <w:szCs w:val="20"/>
          <w:color w:val="auto"/>
        </w:rPr>
      </w:pPr>
    </w:p>
    <w:p>
      <w:pPr>
        <w:jc w:val="both"/>
        <w:ind w:firstLine="563"/>
        <w:spacing w:after="0" w:line="282" w:lineRule="auto"/>
        <w:rPr>
          <w:sz w:val="20"/>
          <w:szCs w:val="20"/>
          <w:color w:val="auto"/>
        </w:rPr>
      </w:pPr>
      <w:r>
        <w:rPr>
          <w:rFonts w:ascii="Times New Roman" w:cs="Times New Roman" w:eastAsia="Times New Roman" w:hAnsi="Times New Roman"/>
          <w:sz w:val="15"/>
          <w:szCs w:val="15"/>
          <w:color w:val="auto"/>
        </w:rPr>
        <w:t>For the auto eInsurance business, we collaborate with a variety of external referral sources to expand our market penetration and broaden our customer base. We have built up a network of external sales partners, including offline after-sales networks who have frequent exposure to car owners, major online platforms with significant user traffic, and emerging EV OEMs and service providers. Our strong relationship with external referral sources is crucial for us to attract end customers for our auto eInsurance business.</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30" w:name="page31"/>
    <w:bookmarkEnd w:id="30"/>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For the auto service business, we rely on auto service providers to deliver a variety of auto-related services to the end customers of our enterprise customers. Positive feedback from end customers is dependent on the quality of service provided by our service providers. If our relationships with our service providers deteriorate, our business, financial condition, and results of operations may be materially and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Efficiency of our Business</w:t>
      </w:r>
    </w:p>
    <w:p>
      <w:pPr>
        <w:spacing w:after="0" w:line="193" w:lineRule="exact"/>
        <w:rPr>
          <w:sz w:val="20"/>
          <w:szCs w:val="20"/>
          <w:color w:val="auto"/>
        </w:rPr>
      </w:pPr>
    </w:p>
    <w:p>
      <w:pPr>
        <w:jc w:val="both"/>
        <w:ind w:firstLine="563"/>
        <w:spacing w:after="0" w:line="270" w:lineRule="auto"/>
        <w:rPr>
          <w:sz w:val="20"/>
          <w:szCs w:val="20"/>
          <w:color w:val="auto"/>
        </w:rPr>
      </w:pPr>
      <w:r>
        <w:rPr>
          <w:rFonts w:ascii="Times New Roman" w:cs="Times New Roman" w:eastAsia="Times New Roman" w:hAnsi="Times New Roman"/>
          <w:sz w:val="16"/>
          <w:szCs w:val="16"/>
          <w:color w:val="auto"/>
        </w:rPr>
        <w:t>While we expect our operating costs and expenses to increase as our business grows, we also expect them to decrease as a percentage of revenues as we improve our operating efficiency and achieve greater economies of scale.</w:t>
      </w:r>
    </w:p>
    <w:p>
      <w:pPr>
        <w:spacing w:after="0" w:line="149" w:lineRule="exact"/>
        <w:rPr>
          <w:sz w:val="20"/>
          <w:szCs w:val="20"/>
          <w:color w:val="auto"/>
        </w:rPr>
      </w:pPr>
    </w:p>
    <w:p>
      <w:pPr>
        <w:jc w:val="both"/>
        <w:ind w:right="20" w:firstLine="563"/>
        <w:spacing w:after="0" w:line="257" w:lineRule="auto"/>
        <w:rPr>
          <w:sz w:val="20"/>
          <w:szCs w:val="20"/>
          <w:color w:val="auto"/>
        </w:rPr>
      </w:pPr>
      <w:r>
        <w:rPr>
          <w:rFonts w:ascii="Times New Roman" w:cs="Times New Roman" w:eastAsia="Times New Roman" w:hAnsi="Times New Roman"/>
          <w:sz w:val="16"/>
          <w:szCs w:val="16"/>
          <w:color w:val="auto"/>
        </w:rPr>
        <w:t>The synergies between our auto eInsurance and auto service businesses enable the symbiotic growth of both segments. As we continue to develop our nationwide automotive service provider network, these service providers become sales partners in our auto eInsurance business. Conversely, when we engage with insurance companies to sell their insurance products, we also engage them as customers of our auto service.</w:t>
      </w:r>
    </w:p>
    <w:p>
      <w:pPr>
        <w:spacing w:after="0" w:line="160"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Our business is built on a multi-tenant cloud platform, which we have continued to integrate into both our customers’ systems as well as our service and sales networks. We are in the process of adding AI intelligence and digital processes to our internal operations as well as into our partners’ related business processes, empowering them with efficient and user-friendly tools and systems. We continue to deploy cutting-edge technologies, including AI, big data, and Robotics Process Automation (“RPA”), to iteratively upgrade our platform with new features and better performance.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w:t>
      </w:r>
    </w:p>
    <w:p>
      <w:pPr>
        <w:spacing w:after="0" w:line="193"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Our auto eInsurance business, like all insurance-related businesses in China, is extensively regulated by the National Financial Regulatory Administration (“NFRA”), and is subject to applicable PRC laws and regulations, including but not limited to the PRC Insurance Law and Regulatory Provisions on Professional Insurance Agencies. Key aspects of our auto eInsurance business that are subject to regulation include the terms and premium rates of the insurance products we distribute on behalf of major insurance companies, the commission rates we earn, and our overall auto eInsurance business operations. Changes in regulations or administrative measures that restrict or reduce insurance premiums or insurance agency commissions could have a material adverse impact on the revenue and profitability of our auto eInsurance business. This is particularly the case if we are not able to increase our policy volume and sales efficiency to compensate for the effect of such regulatory changes or pass on any downward impact on our revenue to external participants in the insurance supply chain.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Impact of Global Inflationary Pressures</w:t>
      </w:r>
    </w:p>
    <w:p>
      <w:pPr>
        <w:spacing w:after="0" w:line="193" w:lineRule="exact"/>
        <w:rPr>
          <w:sz w:val="20"/>
          <w:szCs w:val="20"/>
          <w:color w:val="auto"/>
        </w:rPr>
      </w:pPr>
    </w:p>
    <w:p>
      <w:pPr>
        <w:jc w:val="both"/>
        <w:ind w:firstLine="563"/>
        <w:spacing w:after="0" w:line="247" w:lineRule="auto"/>
        <w:rPr>
          <w:sz w:val="20"/>
          <w:szCs w:val="20"/>
          <w:color w:val="auto"/>
        </w:rPr>
      </w:pPr>
      <w:r>
        <w:rPr>
          <w:rFonts w:ascii="Times New Roman" w:cs="Times New Roman" w:eastAsia="Times New Roman" w:hAnsi="Times New Roman"/>
          <w:sz w:val="16"/>
          <w:szCs w:val="16"/>
          <w:color w:val="auto"/>
        </w:rPr>
        <w:t>We face two types of possible inflationary pressure: general pressure from an inflation-related economic slowdown, and specific pressure from inflation on the price of fuel. First, we consider the impact of inflation on our business to be immaterial as our operations are primarily in China, where inflation rates have been relatively stable in the last three years and the three months ended March 31, 2026: approximately 0.2%, 0.2% and 0.0% for the years ended December 31, 2023, 2024 and 2025, respectively, and 0.9% for the three months ended March 31, 2026. Second, the inflationary environment, driven by ongoing geopolitical tensions from the U.S.-Iran conflict that erupted in February 2026, has continued to impact the global economy. The resulting surge in fossil fuel prices has a broader impact on the automobile industry, which remains heavily dependent on fossil fuels. Higher fuel prices may reduce vehicle usage and could negatively affect automobile demand. As a result, automotive-related industries, including insurance, technology services, and auto service sectors in which we operate, may also be adversely impacted. However, we anticipate such impact to be limited, since we have been working directly with car manufacturers and collaborate with the insurance companies to develop insurance products designed for EVs. We believe that, as EVs become increasingly popular, insurance for EVs can effectively increase our revenue and offset the adverse impact brought by the increased fuel prices.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93"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We prepare our unaudited condensed consolidated financial statements in accordance with U.S. GAAP, which requires us to make judgments, estimates, and assumptions. To the extent that there are material differences between these estimates and actual results, our financial condition or results of operations would be affected. We base our estimates and assumptions on our historical data and other assumptions that we believe are reasonable after taking account of our circumstances and expectations for the future based on available information. We evaluate these estimates and assumptions on an ongoing basis.</w:t>
      </w:r>
    </w:p>
    <w:p>
      <w:pPr>
        <w:spacing w:after="0" w:line="163"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Our expectations regarding the future are based on available information and assumptions that we believe to be reasonable and accurate,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spacing w:after="0" w:line="160"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The critical accounting policies, judgments, and estimates that we believe to have the most significant impact on our unaudited condensed consolidated financial statements are described below, which should be read in conjunction with our unaudited condensed consolidated financial statements and accompanying notes and other disclosures included elsewhere in this report of foreign private issuer on Form 6-K. When reviewing our financial statements, you should consider:</w:t>
      </w:r>
    </w:p>
    <w:p>
      <w:pPr>
        <w:spacing w:after="0" w:line="160" w:lineRule="exact"/>
        <w:rPr>
          <w:sz w:val="20"/>
          <w:szCs w:val="20"/>
          <w:color w:val="auto"/>
        </w:rPr>
      </w:pPr>
    </w:p>
    <w:p>
      <w:pPr>
        <w:ind w:left="840" w:hanging="283"/>
        <w:spacing w:after="0"/>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selection of critical accounting policies;</w:t>
      </w:r>
    </w:p>
    <w:p>
      <w:pPr>
        <w:spacing w:after="0" w:line="191" w:lineRule="exact"/>
        <w:rPr>
          <w:rFonts w:ascii="Times New Roman" w:cs="Times New Roman" w:eastAsia="Times New Roman" w:hAnsi="Times New Roman"/>
          <w:sz w:val="16"/>
          <w:szCs w:val="16"/>
          <w:color w:val="auto"/>
        </w:rPr>
      </w:pPr>
    </w:p>
    <w:p>
      <w:pPr>
        <w:ind w:left="840" w:hanging="283"/>
        <w:spacing w:after="0"/>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judgments and other uncertainties affecting the application of such policies;</w:t>
      </w:r>
    </w:p>
    <w:p>
      <w:pPr>
        <w:spacing w:after="0" w:line="191" w:lineRule="exact"/>
        <w:rPr>
          <w:rFonts w:ascii="Times New Roman" w:cs="Times New Roman" w:eastAsia="Times New Roman" w:hAnsi="Times New Roman"/>
          <w:sz w:val="16"/>
          <w:szCs w:val="16"/>
          <w:color w:val="auto"/>
        </w:rPr>
      </w:pPr>
    </w:p>
    <w:p>
      <w:pPr>
        <w:ind w:left="840" w:hanging="283"/>
        <w:spacing w:after="0"/>
        <w:tabs>
          <w:tab w:leader="none" w:pos="8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sensitivity of reported results to changes in conditions and assumptions.</w:t>
      </w:r>
    </w:p>
    <w:p>
      <w:pPr>
        <w:spacing w:after="0" w:line="191"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We consider an accounting estimate to be critical if: (i) the accounting estimates requires us to make assumptions about matters that were highly uncertain at the time the accounting estimate was made, and (ii) changes in the estimates that are reasonably likely to occur from period to period or use of different estimates that we reasonably could have used in the current period, would have a material impact on our financial condition or results of operations. We consider our critical accounting estimates include (i) revenue recognition; (ii) allowance for credit losses; (iii) valuation allowances of deferred tax assets; and (iv) useful lives of software and equipment.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 Recognition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Revenues are mainly generated from providing auto eInsurance services, technology services, and auto services.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Auto eInsurance</w:t>
      </w:r>
    </w:p>
    <w:p>
      <w:pPr>
        <w:spacing w:after="0" w:line="191"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We provide insurance intermediation services by distributing primarily vehicle insurance on behalf of insurance companies and charge them commissions based on a percentage of premiums paid by the insured. In accordance with ASC 606-10-25-14 and 25-19, we identify the insurance intermediation service as a single performance obligation. We have determined that this service is distinct as: (i) the insurance companies (the customers) can benefit from the distribution service on their own through the successful execution of insurance policies and the resulting premium inflows; and (ii) our promise to transfer the intermediation service is separately identifiable from other promises in the contract. The service does not involve a significant integration service, nor does it significantly modify or customize the insurance products, and it is not highly interdependent with other services provided by us.</w:t>
      </w:r>
    </w:p>
    <w:p>
      <w:pPr>
        <w:spacing w:after="0" w:line="168"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Revenue is recognized at a point in time when an insurance policy becomes effective, which occurs when the signed insurance policy is in place and the premium is collected from the insured. Although our efforts are performed when the policy is sold, the criteria for contract identification under ASC 606-10-25-19 are only satisfied when the premium is received. Prior to this point, the collectability of the commission is not considered probable. Accordingly, we do not accrue any commission revenue prior to reperceiving related premiums. No allowance for cancellation is provided as historical cancellations have been rare and immaterial.</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32" w:name="page33"/>
    <w:bookmarkEnd w:id="32"/>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In accordance with ASC 606-10-55-37A and 55-39, we have determined that it acts as an agent in these transactions. The Group does not control the insurance policy before it is transferred to the insurance policy. Specifically: (i) the insurance companies, not us, are primarily responsible for fulfilling the insurance coverage to the insured; (ii) we do not bear any inventory risk related to the insurance policies; and (iii) the Company has no discretion in establishing the insurance premiums, which are set by the insurance companies. Therefore, revenue is recognized on a net basis in the amount of commission to which we are entitled.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Technology Services</w:t>
      </w:r>
    </w:p>
    <w:p>
      <w:pPr>
        <w:spacing w:after="0" w:line="191" w:lineRule="exact"/>
        <w:rPr>
          <w:sz w:val="20"/>
          <w:szCs w:val="20"/>
          <w:color w:val="auto"/>
        </w:rPr>
      </w:pPr>
    </w:p>
    <w:p>
      <w:pPr>
        <w:jc w:val="both"/>
        <w:ind w:right="20" w:firstLine="563"/>
        <w:spacing w:after="0" w:line="270" w:lineRule="auto"/>
        <w:rPr>
          <w:sz w:val="20"/>
          <w:szCs w:val="20"/>
          <w:color w:val="auto"/>
        </w:rPr>
      </w:pPr>
      <w:r>
        <w:rPr>
          <w:rFonts w:ascii="Times New Roman" w:cs="Times New Roman" w:eastAsia="Times New Roman" w:hAnsi="Times New Roman"/>
          <w:sz w:val="16"/>
          <w:szCs w:val="16"/>
          <w:color w:val="auto"/>
        </w:rPr>
        <w:t>We provide technology services including technical software and consulting related to automobile services and insurance, such as customer relationship management (CRM), order management, finance management and visual analysis systems.</w:t>
      </w:r>
    </w:p>
    <w:p>
      <w:pPr>
        <w:spacing w:after="0" w:line="149" w:lineRule="exact"/>
        <w:rPr>
          <w:sz w:val="20"/>
          <w:szCs w:val="20"/>
          <w:color w:val="auto"/>
        </w:rPr>
      </w:pPr>
    </w:p>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In accordance with ASC 606-10-25-14 and 25-19, we identify the technology service as a single performance obligation. Although the service includes both software access and technical consulting/support, the Group has determined that these components are not separately identifiable within the context of the contract. The software and consulting services are highly interrelated and interdependent, as the software is a self-developed proprietary system that requires our ongoing integration, data maintenance, and technical updates to remain functional and relevant to the customer’s specific automobile and insurance service needs. Therefore, the software and related consulting are treated as a combined output delivered over the service period.</w:t>
      </w:r>
    </w:p>
    <w:p>
      <w:pPr>
        <w:spacing w:after="0" w:line="164"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We satisfy our performance obligation over time during the service period, as the customer simultaneously receives and consumes the benefits of our services through access and support. Revenue is recognized on a straight-line basis over the contractual term, typically charged at a fixed price per month. The transaction price is allocated entirely to this single combined performance obligation. We do not have significant variable considerations, and the payment terms generally require monthly settlement, which does not involve a significant financing component.</w:t>
      </w:r>
    </w:p>
    <w:p>
      <w:pPr>
        <w:spacing w:after="0" w:line="163"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In accordance with ASC 606-10-55-37A and 55-39, We have determined it acts as the principal in these transactions. We control the technical software and consulting services before they are transferred to the customer. This is evidenced by the fact that: (i) we are primarily responsible for fulfilling the promise to provide the integrated system and ensure its functionality; (ii) we own the intellectual property of the software and bear the risk of service delivery; and (iii) we have full discretion in establishing the price for the services.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Auto Services</w:t>
      </w:r>
    </w:p>
    <w:p>
      <w:pPr>
        <w:spacing w:after="0" w:line="191" w:lineRule="exact"/>
        <w:rPr>
          <w:sz w:val="20"/>
          <w:szCs w:val="20"/>
          <w:color w:val="auto"/>
        </w:rPr>
      </w:pPr>
    </w:p>
    <w:p>
      <w:pPr>
        <w:jc w:val="both"/>
        <w:ind w:firstLine="563"/>
        <w:spacing w:after="0" w:line="265" w:lineRule="auto"/>
        <w:rPr>
          <w:sz w:val="20"/>
          <w:szCs w:val="20"/>
          <w:color w:val="auto"/>
        </w:rPr>
      </w:pPr>
      <w:r>
        <w:rPr>
          <w:rFonts w:ascii="Times New Roman" w:cs="Times New Roman" w:eastAsia="Times New Roman" w:hAnsi="Times New Roman"/>
          <w:sz w:val="15"/>
          <w:szCs w:val="15"/>
          <w:color w:val="auto"/>
        </w:rPr>
        <w:t>We define enterprise customers as our customers and sell auto service coupons to enterprise customers, where each coupon represents one specific auto service. There are various service types that include vehicle washing, waxing, maintenance, transportation services and roadside assistance. We only provide one specific service among various service types for each specific service coupon. We identify each specific service coupon as a contract that establishes enforceable rights and obligations for each party. We charge the service fee at a fixed price per service when the service is performed. For service coupons with limited duration, we either charge the service fee at a fixed price per service when the service is performed or when the coupon expires, whether or not the service has been performed. We consider each service coupon to be a distinct service that is capable of providing a benefit to the customer on its own according to ASC 606-10-25-14(a). Therefore, we identify only one performance obligation under a contract, which is to provide a specific service or to stand ready to perform a specific service within a limited duration. We act as a principal as we control access to the services before the services are provided to customers and we have the ability to direct other parties to provide the services to customers on our behalf. Specifically, we have the ability to choose service providers and are primarily responsible for the acceptability for the service meeting customer specifications, bears inventory risk after transfer of control of services to customers and has the discretion in establishing the price with customers and with service providers and bears credit risk. We recognize revenue in the gross amount of consideration at a point of time when the service is provided, or when the service coupon expires. We do not provide refunds to the customers when a coupon is expired but not used.</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color w:val="auto"/>
        </w:rPr>
        <w:t>Allowance for Credit Losses</w:t>
      </w:r>
    </w:p>
    <w:p>
      <w:pPr>
        <w:spacing w:after="0" w:line="193"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Accounts receivable, net, are stated at the original amounts less allowances for credit losses. Accounts receivable are recognized in the period when we have provided services to our customers and when our right to consideration is unconditional. We adopted ASC Topic 326, Financial Instruments-Credit Losses (Topic 326) from January 1, 2023, using modified-retrospective transition approach with a cumulative-effect adjustment to shareholders’ equity amounting to US$0.5 million recognized as of January 1, 2023. We assess collectability by reviewing accounts receivable on a collective basis where similar characteristics exist, primarily based on similar business lines, and on an individual basis when we identify specific customers with known disputes or collectability issues. In determining the amount of the allowance for credit losses, we consider historical collectability based on past due status, the age of the accounts receivable balances, credit quality of our customers based on ongoing credit evaluations, current economic conditions, reasonable and supportable forecasts of future economic conditions, and other factors that may affect our ability to collect from customers.</w:t>
      </w:r>
    </w:p>
    <w:p>
      <w:pPr>
        <w:spacing w:after="0" w:line="165"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For the three months ended March 31, 2025 and 2026, we recognized and reversed allowance for credit losses of US$1.1 million and US$1.9 million, respectively. A 10% increase in credit loss provision would have increased loss before income tax by 3.0% for the three months ended March 31, 2025, while a 10% increase in credit loss reversal would have increased income before income tax by 9.3%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Valuation Allowance of Deferred Tax Assets</w:t>
      </w:r>
    </w:p>
    <w:p>
      <w:pPr>
        <w:spacing w:after="0" w:line="193" w:lineRule="exact"/>
        <w:rPr>
          <w:sz w:val="20"/>
          <w:szCs w:val="20"/>
          <w:color w:val="auto"/>
        </w:rPr>
      </w:pPr>
    </w:p>
    <w:p>
      <w:pPr>
        <w:jc w:val="both"/>
        <w:ind w:firstLine="563"/>
        <w:spacing w:after="0" w:line="248" w:lineRule="auto"/>
        <w:rPr>
          <w:sz w:val="20"/>
          <w:szCs w:val="20"/>
          <w:color w:val="auto"/>
        </w:rPr>
      </w:pPr>
      <w:r>
        <w:rPr>
          <w:rFonts w:ascii="Times New Roman" w:cs="Times New Roman" w:eastAsia="Times New Roman" w:hAnsi="Times New Roman"/>
          <w:sz w:val="16"/>
          <w:szCs w:val="16"/>
          <w:color w:val="auto"/>
        </w:rPr>
        <w:t>Deferred tax assets are reduced by a valuation allowance when, in the opinion of management, it is more likely than not that some portion or all of the deferred tax assets will not be realized. We consider positive and negative evidence when determining whether a portion or all of our deferred tax assets will more likely than not be realized. This assessment considers, among other matters, the nature, frequency and severity of current and cumulative losses, forecasts of future profitability, the duration of statutory carry-forward periods, our experience with tax attributes expiring unused, and our tax planning strategies. The ultimate realization of deferred tax assets is dependent upon our ability to generate sufficient future taxable income within the carry-forward periods provided for in the tax law and during the periods in which the temporary differences become deductible. When assessing the realization of deferred tax assets, we have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w:t>
      </w:r>
    </w:p>
    <w:p>
      <w:pPr>
        <w:spacing w:after="0" w:line="168"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For the three months ended March 31, 2025 and 2026, we recognized a valuation allowance of deferred tax assets of US$0.5 million and US$0.8 million, respectively. A 10% increase in our valuation allowance of deferred tax assets would have increased net losses by 1.4% and decreased net income by 4.9% for the three months ended March 31, 2025 and 2026,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Useful Lives of Property, Software and Equipment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estimated useful lives of the property, software and equipment are based on the management’s best estimation, which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Estimated useful lives</w:t>
            </w:r>
          </w:p>
        </w:tc>
      </w:tr>
      <w:tr>
        <w:trPr>
          <w:trHeight w:val="188"/>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Vehicles</w:t>
            </w:r>
          </w:p>
        </w:tc>
        <w:tc>
          <w:tcPr>
            <w:tcW w:w="3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3-5 years</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Office equipment and furniture</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8"/>
              </w:rPr>
              <w:t>3-5 years</w:t>
            </w:r>
          </w:p>
        </w:tc>
      </w:tr>
      <w:tr>
        <w:trPr>
          <w:trHeight w:val="18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Electronic equipment</w:t>
            </w:r>
          </w:p>
        </w:tc>
        <w:tc>
          <w:tcPr>
            <w:tcW w:w="3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3 years</w:t>
            </w:r>
          </w:p>
        </w:tc>
      </w:tr>
      <w:tr>
        <w:trPr>
          <w:trHeight w:val="188"/>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Building</w:t>
            </w:r>
          </w:p>
        </w:tc>
        <w:tc>
          <w:tcPr>
            <w:tcW w:w="3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20 years</w:t>
            </w:r>
          </w:p>
        </w:tc>
      </w:tr>
      <w:tr>
        <w:trPr>
          <w:trHeight w:val="18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software</w:t>
            </w:r>
          </w:p>
        </w:tc>
        <w:tc>
          <w:tcPr>
            <w:tcW w:w="3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5, 10 years</w:t>
            </w:r>
          </w:p>
        </w:tc>
      </w:tr>
      <w:tr>
        <w:trPr>
          <w:trHeight w:val="171"/>
        </w:trPr>
        <w:tc>
          <w:tcPr>
            <w:tcW w:w="37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Leasehold improvements</w:t>
            </w:r>
          </w:p>
        </w:tc>
        <w:tc>
          <w:tcPr>
            <w:tcW w:w="3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6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w w:val="97"/>
              </w:rPr>
              <w:t>Over the shorter of the lease term or the</w:t>
            </w:r>
          </w:p>
        </w:tc>
      </w:tr>
      <w:tr>
        <w:trPr>
          <w:trHeight w:val="203"/>
        </w:trPr>
        <w:tc>
          <w:tcPr>
            <w:tcW w:w="3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7"/>
              </w:rPr>
              <w:t>estimated useful lives of the assets</w:t>
            </w:r>
          </w:p>
        </w:tc>
      </w:tr>
      <w:tr>
        <w:trPr>
          <w:trHeight w:val="567"/>
        </w:trPr>
        <w:tc>
          <w:tcPr>
            <w:tcW w:w="37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jc w:val="right"/>
              <w:ind w:right="136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7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w:t>
      </w:r>
    </w:p>
    <w:p>
      <w:pPr>
        <w:spacing w:after="0" w:line="195" w:lineRule="exact"/>
        <w:rPr>
          <w:sz w:val="20"/>
          <w:szCs w:val="20"/>
          <w:color w:val="auto"/>
        </w:rPr>
      </w:pPr>
    </w:p>
    <w:p>
      <w:pPr>
        <w:jc w:val="both"/>
        <w:ind w:firstLine="563"/>
        <w:spacing w:after="0" w:line="270" w:lineRule="auto"/>
        <w:rPr>
          <w:sz w:val="20"/>
          <w:szCs w:val="20"/>
          <w:color w:val="auto"/>
        </w:rPr>
      </w:pPr>
      <w:r>
        <w:rPr>
          <w:rFonts w:ascii="Times New Roman" w:cs="Times New Roman" w:eastAsia="Times New Roman" w:hAnsi="Times New Roman"/>
          <w:sz w:val="16"/>
          <w:szCs w:val="16"/>
          <w:color w:val="auto"/>
        </w:rPr>
        <w:t>Our revenues are derived from auto eInsurance service, technology service and auto service. The following table sets forth the breakdown of our total revenues, both in absolute amount and as a percentage of our total revenues, for the periods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 March 31,</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37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8"/>
        </w:trPr>
        <w:tc>
          <w:tcPr>
            <w:tcW w:w="37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80" w:type="dxa"/>
            <w:vAlign w:val="bottom"/>
            <w:gridSpan w:val="9"/>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w w:val="97"/>
              </w:rPr>
              <w:t>(in thousands, except for percentages)</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8"/>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eInsurance service</w:t>
            </w:r>
          </w:p>
        </w:tc>
        <w:tc>
          <w:tcPr>
            <w:tcW w:w="256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45,927</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400" w:type="dxa"/>
            <w:vAlign w:val="bottom"/>
            <w:gridSpan w:val="2"/>
            <w:shd w:val="clear" w:color="auto" w:fill="CCEEFF"/>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62,337</w:t>
            </w:r>
          </w:p>
        </w:tc>
        <w:tc>
          <w:tcPr>
            <w:tcW w:w="46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6"/>
                <w:szCs w:val="16"/>
                <w:color w:val="auto"/>
              </w:rPr>
              <w:t>Technology service</w:t>
            </w:r>
          </w:p>
        </w:tc>
        <w:tc>
          <w:tcPr>
            <w:tcW w:w="2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10,665</w:t>
            </w:r>
          </w:p>
        </w:tc>
        <w:tc>
          <w:tcPr>
            <w:tcW w:w="480" w:type="dxa"/>
            <w:vAlign w:val="bottom"/>
          </w:tcPr>
          <w:p>
            <w:pPr>
              <w:spacing w:after="0"/>
              <w:rPr>
                <w:sz w:val="16"/>
                <w:szCs w:val="16"/>
                <w:color w:val="auto"/>
              </w:rPr>
            </w:pP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15,283</w:t>
            </w:r>
          </w:p>
        </w:tc>
        <w:tc>
          <w:tcPr>
            <w:tcW w:w="46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service</w:t>
            </w:r>
          </w:p>
        </w:tc>
        <w:tc>
          <w:tcPr>
            <w:tcW w:w="2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46,003</w:t>
            </w:r>
          </w:p>
        </w:tc>
        <w:tc>
          <w:tcPr>
            <w:tcW w:w="4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53,548</w:t>
            </w:r>
          </w:p>
        </w:tc>
        <w:tc>
          <w:tcPr>
            <w:tcW w:w="4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r>
      <w:tr>
        <w:trPr>
          <w:trHeight w:val="175"/>
        </w:trPr>
        <w:tc>
          <w:tcPr>
            <w:tcW w:w="3720" w:type="dxa"/>
            <w:vAlign w:val="bottom"/>
            <w:tcBorders>
              <w:top w:val="single" w:sz="8" w:color="CCEEFF"/>
            </w:tcBorders>
          </w:tcPr>
          <w:p>
            <w:pPr>
              <w:spacing w:after="0" w:line="171" w:lineRule="exact"/>
              <w:rPr>
                <w:sz w:val="20"/>
                <w:szCs w:val="20"/>
                <w:color w:val="auto"/>
              </w:rPr>
            </w:pPr>
            <w:r>
              <w:rPr>
                <w:rFonts w:ascii="Times New Roman" w:cs="Times New Roman" w:eastAsia="Times New Roman" w:hAnsi="Times New Roman"/>
                <w:sz w:val="16"/>
                <w:szCs w:val="16"/>
                <w:b w:val="1"/>
                <w:bCs w:val="1"/>
                <w:color w:val="auto"/>
              </w:rPr>
              <w:t>Total</w:t>
            </w:r>
          </w:p>
        </w:tc>
        <w:tc>
          <w:tcPr>
            <w:tcW w:w="2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jc w:val="right"/>
              <w:ind w:right="182"/>
              <w:spacing w:after="0" w:line="17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102,595</w:t>
            </w:r>
          </w:p>
        </w:tc>
        <w:tc>
          <w:tcPr>
            <w:tcW w:w="200" w:type="dxa"/>
            <w:vAlign w:val="bottom"/>
            <w:tcBorders>
              <w:top w:val="single" w:sz="8" w:color="CCEEFF"/>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100</w:t>
            </w:r>
          </w:p>
        </w:tc>
        <w:tc>
          <w:tcPr>
            <w:tcW w:w="220" w:type="dxa"/>
            <w:vAlign w:val="bottom"/>
            <w:tcBorders>
              <w:top w:val="single" w:sz="8" w:color="CCEEFF"/>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131,168</w:t>
            </w: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100</w:t>
            </w:r>
          </w:p>
        </w:tc>
        <w:tc>
          <w:tcPr>
            <w:tcW w:w="180" w:type="dxa"/>
            <w:vAlign w:val="bottom"/>
            <w:tcBorders>
              <w:top w:val="single" w:sz="8" w:color="CCEEFF"/>
            </w:tcBorders>
            <w:gridSpan w:val="2"/>
          </w:tcPr>
          <w:p>
            <w:pPr>
              <w:jc w:val="right"/>
              <w:ind w:right="20"/>
              <w:spacing w:after="0" w:line="171" w:lineRule="exact"/>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3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firstLine="56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Auto eInsurance Service. </w:t>
      </w:r>
      <w:r>
        <w:rPr>
          <w:rFonts w:ascii="Times New Roman" w:cs="Times New Roman" w:eastAsia="Times New Roman" w:hAnsi="Times New Roman"/>
          <w:sz w:val="16"/>
          <w:szCs w:val="16"/>
          <w:color w:val="auto"/>
        </w:rPr>
        <w:t>We provide auto eInsurance service by distributing automobile insurance products on behalf of insurance companies. Auto eInsurance services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are considered to be rendered and completed, and revenue is recognized when the insurance policy becomes effective, meaning when the signed insurance policy is in place and the premium is collected from the insured. We recognize revenue when the premiums are collected by the respective insurance companies, because collectability is not ensured until receipt of the premium. Accordingly, we do not accrue any commission fees prior to the receipt of the relevant premiums.</w:t>
      </w:r>
    </w:p>
    <w:p>
      <w:pPr>
        <w:spacing w:after="0" w:line="159" w:lineRule="exact"/>
        <w:rPr>
          <w:sz w:val="20"/>
          <w:szCs w:val="20"/>
          <w:color w:val="auto"/>
        </w:rPr>
      </w:pPr>
    </w:p>
    <w:p>
      <w:pPr>
        <w:jc w:val="both"/>
        <w:ind w:firstLine="56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Technology Service. </w:t>
      </w:r>
      <w:r>
        <w:rPr>
          <w:rFonts w:ascii="Times New Roman" w:cs="Times New Roman" w:eastAsia="Times New Roman" w:hAnsi="Times New Roman"/>
          <w:sz w:val="16"/>
          <w:szCs w:val="16"/>
          <w:color w:val="auto"/>
        </w:rPr>
        <w:t>We operate our technology service business by providing technical software and consultation related to automobile services and insurance, including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modular management tools such as customer relationship management, order management, finance management and visual analysis systems. For the use of our technology services, we charge technology service fees based on fixed prices per service period (usually one month) for service provided and recognizing revenue over time during the service period.</w:t>
      </w:r>
    </w:p>
    <w:p>
      <w:pPr>
        <w:spacing w:after="0" w:line="159" w:lineRule="exact"/>
        <w:rPr>
          <w:sz w:val="20"/>
          <w:szCs w:val="20"/>
          <w:color w:val="auto"/>
        </w:rPr>
      </w:pPr>
    </w:p>
    <w:p>
      <w:pPr>
        <w:jc w:val="both"/>
        <w:ind w:right="20" w:firstLine="563"/>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Auto Service. </w:t>
      </w:r>
      <w:r>
        <w:rPr>
          <w:rFonts w:ascii="Times New Roman" w:cs="Times New Roman" w:eastAsia="Times New Roman" w:hAnsi="Times New Roman"/>
          <w:sz w:val="16"/>
          <w:szCs w:val="16"/>
          <w:color w:val="auto"/>
        </w:rPr>
        <w:t>We provide customized auto service to enterprises, who ultimately offer them to their end customers. These services include necessary maintenance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regular services such as car wash, oil change, tire repair, car beautification, road assistance, flight pickup, designated driving, and VIP lounge. We charge a service fee either based on the number of service items completed at a fixed price per item or charge for service coupons with a limited duration term, whether or not the services have been performed. We act as the principal supplier and control access to the services before providing them to end customers. Therefore, we recognize revenue in the gross amount of consideration at the point of time when services are provided, or upon expiration of unused service coupons with limited duration.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costs and expenses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our operating costs and expenses, both in absolute amounts and as a percentage of total revenues, for the periods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c>
          <w:tcPr>
            <w:tcW w:w="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20" w:type="dxa"/>
            <w:vAlign w:val="bottom"/>
            <w:gridSpan w:val="9"/>
          </w:tcPr>
          <w:p>
            <w:pPr>
              <w:ind w:left="18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Integrated service cost</w:t>
            </w:r>
          </w:p>
        </w:tc>
        <w:tc>
          <w:tcPr>
            <w:tcW w:w="234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48,422</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65,234</w:t>
            </w: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Promotional service expenses</w:t>
            </w: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44,725</w:t>
            </w:r>
          </w:p>
        </w:tc>
        <w:tc>
          <w:tcPr>
            <w:tcW w:w="480" w:type="dxa"/>
            <w:vAlign w:val="bottom"/>
          </w:tcPr>
          <w:p>
            <w:pPr>
              <w:spacing w:after="0"/>
              <w:rPr>
                <w:sz w:val="16"/>
                <w:szCs w:val="16"/>
                <w:color w:val="auto"/>
              </w:rPr>
            </w:pP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57,846</w:t>
            </w:r>
          </w:p>
        </w:tc>
        <w:tc>
          <w:tcPr>
            <w:tcW w:w="5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8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20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6,063</w:t>
            </w:r>
          </w:p>
        </w:tc>
        <w:tc>
          <w:tcPr>
            <w:tcW w:w="4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2,635</w:t>
            </w:r>
          </w:p>
        </w:tc>
        <w:tc>
          <w:tcPr>
            <w:tcW w:w="5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5,420</w:t>
            </w:r>
          </w:p>
        </w:tc>
        <w:tc>
          <w:tcPr>
            <w:tcW w:w="480" w:type="dxa"/>
            <w:vAlign w:val="bottom"/>
          </w:tcPr>
          <w:p>
            <w:pPr>
              <w:spacing w:after="0"/>
              <w:rPr>
                <w:sz w:val="16"/>
                <w:szCs w:val="16"/>
                <w:color w:val="auto"/>
              </w:rPr>
            </w:pPr>
          </w:p>
        </w:tc>
        <w:tc>
          <w:tcPr>
            <w:tcW w:w="860" w:type="dxa"/>
            <w:vAlign w:val="bottom"/>
            <w:gridSpan w:val="2"/>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1,275</w:t>
            </w:r>
          </w:p>
        </w:tc>
        <w:tc>
          <w:tcPr>
            <w:tcW w:w="5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1,165</w:t>
            </w:r>
          </w:p>
        </w:tc>
        <w:tc>
          <w:tcPr>
            <w:tcW w:w="5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line="20" w:lineRule="exact"/>
              <w:rPr>
                <w:sz w:val="1"/>
                <w:szCs w:val="1"/>
                <w:color w:val="auto"/>
              </w:rPr>
            </w:pPr>
          </w:p>
        </w:tc>
      </w:tr>
      <w:tr>
        <w:trPr>
          <w:trHeight w:val="198"/>
        </w:trPr>
        <w:tc>
          <w:tcPr>
            <w:tcW w:w="39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105,553</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w:t>
            </w:r>
          </w:p>
        </w:tc>
        <w:tc>
          <w:tcPr>
            <w:tcW w:w="220" w:type="dxa"/>
            <w:vAlign w:val="bottom"/>
            <w:vMerge w:val="continue"/>
          </w:tcPr>
          <w:p>
            <w:pPr>
              <w:spacing w:after="0"/>
              <w:rPr>
                <w:sz w:val="17"/>
                <w:szCs w:val="17"/>
                <w:color w:val="auto"/>
              </w:rPr>
            </w:pPr>
          </w:p>
        </w:tc>
        <w:tc>
          <w:tcPr>
            <w:tcW w:w="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128,155</w:t>
            </w:r>
          </w:p>
        </w:tc>
        <w:tc>
          <w:tcPr>
            <w:tcW w:w="5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3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78" w:right="319" w:bottom="1440" w:gutter="0" w:footer="0" w:header="0"/>
        </w:sectPr>
      </w:pPr>
    </w:p>
    <w:bookmarkStart w:id="35" w:name="page36"/>
    <w:bookmarkEnd w:id="35"/>
    <w:p>
      <w:pPr>
        <w:jc w:val="both"/>
        <w:ind w:left="6"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Integrated service cost. </w:t>
      </w:r>
      <w:r>
        <w:rPr>
          <w:rFonts w:ascii="Times New Roman" w:cs="Times New Roman" w:eastAsia="Times New Roman" w:hAnsi="Times New Roman"/>
          <w:sz w:val="16"/>
          <w:szCs w:val="16"/>
          <w:color w:val="auto"/>
        </w:rPr>
        <w:t>The integrated service cost primarily consists of (i) service fees paid to suppliers engaged in providing technical support for our technology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service and (ii) service fees paid to auto service providers to provide customized service for end customers of its enterprise customers. The service fee is determined based on and recognized in the period of the actual services rendered.</w:t>
      </w:r>
    </w:p>
    <w:p>
      <w:pPr>
        <w:spacing w:after="0" w:line="157" w:lineRule="exact"/>
        <w:rPr>
          <w:sz w:val="20"/>
          <w:szCs w:val="20"/>
          <w:color w:val="auto"/>
        </w:rPr>
      </w:pPr>
    </w:p>
    <w:p>
      <w:pPr>
        <w:jc w:val="both"/>
        <w:ind w:left="6"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Promotional Service Expenses. </w:t>
      </w:r>
      <w:r>
        <w:rPr>
          <w:rFonts w:ascii="Times New Roman" w:cs="Times New Roman" w:eastAsia="Times New Roman" w:hAnsi="Times New Roman"/>
          <w:sz w:val="16"/>
          <w:szCs w:val="16"/>
          <w:color w:val="auto"/>
        </w:rPr>
        <w:t>Promotional service expenses represent (i) promotional service fees to expand extensive networks primarily of auto eInsurance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partners and (ii) service fees we pay to promotion channels, including but not limited to offline after-sales networks, online platforms, and emerging EV OEMs and service providers. Promotional service expenses are recognized in the period incurred.</w:t>
      </w:r>
    </w:p>
    <w:p>
      <w:pPr>
        <w:spacing w:after="0" w:line="157"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Selling expenses primarily consist of (i) salaries and employment benefits for employees who work in the service lines, (ii) promotional service fees,</w:t>
      </w:r>
    </w:p>
    <w:p>
      <w:pPr>
        <w:spacing w:after="0" w:line="21" w:lineRule="exact"/>
        <w:rPr>
          <w:sz w:val="20"/>
          <w:szCs w:val="20"/>
          <w:color w:val="auto"/>
        </w:rPr>
      </w:pPr>
    </w:p>
    <w:p>
      <w:pPr>
        <w:ind w:left="6" w:right="20" w:hanging="6"/>
        <w:spacing w:after="0" w:line="249" w:lineRule="auto"/>
        <w:tabs>
          <w:tab w:leader="none" w:pos="2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communication and travel expenses, and (iv) depreciation expenses related to sales. Depreciation expenses are calculated on a straight-line basis over the estimated useful lives of the assets.</w:t>
      </w:r>
    </w:p>
    <w:p>
      <w:pPr>
        <w:spacing w:after="0" w:line="164" w:lineRule="exact"/>
        <w:rPr>
          <w:sz w:val="20"/>
          <w:szCs w:val="20"/>
          <w:color w:val="auto"/>
        </w:rPr>
      </w:pPr>
    </w:p>
    <w:p>
      <w:pPr>
        <w:jc w:val="both"/>
        <w:ind w:left="6" w:right="20" w:firstLine="563"/>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primarily consist of (i) staff costs, rental and depreciation expenses related to general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administrative personnel, (ii) share-based compensation expenses, (iii) provision for or reversal of credit losses, and (iv) other corporate expenses.</w:t>
      </w:r>
    </w:p>
    <w:p>
      <w:pPr>
        <w:spacing w:after="0" w:line="146" w:lineRule="exact"/>
        <w:rPr>
          <w:sz w:val="20"/>
          <w:szCs w:val="20"/>
          <w:color w:val="auto"/>
        </w:rPr>
      </w:pPr>
    </w:p>
    <w:p>
      <w:pPr>
        <w:jc w:val="both"/>
        <w:ind w:left="6"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Research and development expenses primarily consist of payroll and employee benefits for research and development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rental expenses, utilities, and other related expenses to design, develop, and maintain the technology service platform and to support its internal and external customers, and for share-based compensation expenses.</w:t>
      </w:r>
    </w:p>
    <w:p>
      <w:pPr>
        <w:spacing w:after="0" w:line="15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 2026 compared with Three Months Ended March 31, 2025</w:t>
      </w:r>
    </w:p>
    <w:p>
      <w:pPr>
        <w:spacing w:after="0" w:line="195" w:lineRule="exact"/>
        <w:rPr>
          <w:sz w:val="20"/>
          <w:szCs w:val="20"/>
          <w:color w:val="auto"/>
        </w:rPr>
      </w:pPr>
    </w:p>
    <w:p>
      <w:pPr>
        <w:jc w:val="both"/>
        <w:ind w:left="6" w:firstLine="563"/>
        <w:spacing w:after="0" w:line="257" w:lineRule="auto"/>
        <w:rPr>
          <w:sz w:val="20"/>
          <w:szCs w:val="20"/>
          <w:color w:val="auto"/>
        </w:rPr>
      </w:pPr>
      <w:r>
        <w:rPr>
          <w:rFonts w:ascii="Times New Roman" w:cs="Times New Roman" w:eastAsia="Times New Roman" w:hAnsi="Times New Roman"/>
          <w:sz w:val="16"/>
          <w:szCs w:val="16"/>
          <w:color w:val="auto"/>
        </w:rPr>
        <w:t>The following table sets forth a summary of unaudited condensed consolidated results of operations for the periods indicated. This information should be read together with unaudited condensed consolidated financial statements and related notes included elsewhere in this report. The operating results in any period are not necessarily indicative of the results that may be expected for any future period.</w:t>
      </w:r>
    </w:p>
    <w:p>
      <w:pPr>
        <w:spacing w:after="0" w:line="158"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80" w:type="dxa"/>
            <w:vAlign w:val="bottom"/>
            <w:tcBorders>
              <w:top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eInsurance service</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45,927</w:t>
            </w: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62,337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16,410</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Technology service</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10,665</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15,283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4,618</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Auto service</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46,003</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53,548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7,545</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102,595</w:t>
            </w:r>
          </w:p>
        </w:tc>
        <w:tc>
          <w:tcPr>
            <w:tcW w:w="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131,168</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28,573</w:t>
            </w:r>
          </w:p>
        </w:tc>
        <w:tc>
          <w:tcPr>
            <w:tcW w:w="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28%</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Integrated service cost</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(48,422)</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(65,234)</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(16,812)</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Promotional service expenses</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(44,725)</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(57,846)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(13,121)</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expenses</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(6,063)</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(2,635)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3,428</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(5,420)</w:t>
            </w:r>
          </w:p>
        </w:tc>
        <w:tc>
          <w:tcPr>
            <w:tcW w:w="2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4,145</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(923)</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(242)</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operating costs and expenses</w:t>
            </w: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(105,553)</w:t>
            </w:r>
          </w:p>
        </w:tc>
        <w:tc>
          <w:tcPr>
            <w:tcW w:w="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(128,155)</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(22,602)</w:t>
            </w:r>
          </w:p>
        </w:tc>
        <w:tc>
          <w:tcPr>
            <w:tcW w:w="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(loss)/income</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(2,958)</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3,013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5,971</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(expenses)/income</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expenses, net</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(1,029)</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6"/>
                <w:szCs w:val="16"/>
                <w:color w:val="auto"/>
              </w:rPr>
              <w:t>122</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(773)</w:t>
            </w:r>
          </w:p>
        </w:tc>
        <w:tc>
          <w:tcPr>
            <w:tcW w:w="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(1,005)</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(232)</w:t>
            </w:r>
          </w:p>
        </w:tc>
        <w:tc>
          <w:tcPr>
            <w:tcW w:w="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30%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(Loss)/income before income tax expense</w:t>
            </w: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(3,731)</w:t>
            </w:r>
          </w:p>
        </w:tc>
        <w:tc>
          <w:tcPr>
            <w:tcW w:w="24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5,739</w:t>
            </w:r>
          </w:p>
        </w:tc>
        <w:tc>
          <w:tcPr>
            <w:tcW w:w="32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benefit/(expense)</w:t>
            </w:r>
          </w:p>
        </w:tc>
        <w:tc>
          <w:tcPr>
            <w:tcW w:w="1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(532)</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(loss)/income</w:t>
            </w:r>
          </w:p>
        </w:tc>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vMerge w:val="continue"/>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(3,647)</w:t>
            </w:r>
          </w:p>
        </w:tc>
        <w:tc>
          <w:tcPr>
            <w:tcW w:w="2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1,560</w:t>
            </w: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5,207</w:t>
            </w:r>
          </w:p>
        </w:tc>
        <w:tc>
          <w:tcPr>
            <w:tcW w:w="2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-143%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(loss)/income</w:t>
            </w:r>
          </w:p>
        </w:tc>
        <w:tc>
          <w:tcPr>
            <w:tcW w:w="1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difference</w:t>
            </w:r>
          </w:p>
        </w:tc>
        <w:tc>
          <w:tcPr>
            <w:tcW w:w="1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21"/>
              <w:spacing w:after="0"/>
              <w:rPr>
                <w:sz w:val="20"/>
                <w:szCs w:val="20"/>
                <w:color w:val="auto"/>
              </w:rPr>
            </w:pPr>
            <w:r>
              <w:rPr>
                <w:rFonts w:ascii="Times New Roman" w:cs="Times New Roman" w:eastAsia="Times New Roman" w:hAnsi="Times New Roman"/>
                <w:sz w:val="16"/>
                <w:szCs w:val="16"/>
                <w:color w:val="auto"/>
              </w:rPr>
              <w:t>(1,203)</w:t>
            </w: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2,170</w:t>
            </w:r>
          </w:p>
        </w:tc>
        <w:tc>
          <w:tcPr>
            <w:tcW w:w="32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comprehensive (loss)/income</w:t>
            </w:r>
          </w:p>
        </w:tc>
        <w:tc>
          <w:tcPr>
            <w:tcW w:w="1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121"/>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080" w:type="dxa"/>
            <w:vAlign w:val="bottom"/>
            <w:vMerge w:val="continue"/>
            <w:shd w:val="clear" w:color="auto" w:fill="CCEEFF"/>
          </w:tcPr>
          <w:p>
            <w:pPr>
              <w:spacing w:after="0"/>
              <w:rPr>
                <w:sz w:val="18"/>
                <w:szCs w:val="18"/>
                <w:color w:val="auto"/>
              </w:rPr>
            </w:pP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(4,850</w:t>
            </w:r>
          </w:p>
        </w:tc>
        <w:tc>
          <w:tcPr>
            <w:tcW w:w="2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2,527</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7,377</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-152</w:t>
            </w: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242"/>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2"/>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6"/>
          </w:cols>
          <w:pgMar w:left="314" w:top="778"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color w:val="auto"/>
        </w:rPr>
        <w:t>Revenu</w:t>
      </w:r>
      <w:r>
        <w:rPr>
          <w:rFonts w:ascii="Times New Roman" w:cs="Times New Roman" w:eastAsia="Times New Roman" w:hAnsi="Times New Roman"/>
          <w:sz w:val="16"/>
          <w:szCs w:val="16"/>
          <w:color w:val="auto"/>
        </w:rPr>
        <w:t>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total revenue increased by 28% from US$102.6 million for the three months ended March 31, 2025 to US$131.2 million for the three months ended March 31, 2026.</w:t>
      </w:r>
    </w:p>
    <w:p>
      <w:pPr>
        <w:spacing w:after="0" w:line="201" w:lineRule="exact"/>
        <w:rPr>
          <w:sz w:val="20"/>
          <w:szCs w:val="20"/>
          <w:color w:val="auto"/>
        </w:rPr>
      </w:pPr>
    </w:p>
    <w:p>
      <w:pPr>
        <w:jc w:val="both"/>
        <w:ind w:right="20"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Auto eInsurance service. </w:t>
      </w:r>
      <w:r>
        <w:rPr>
          <w:rFonts w:ascii="Times New Roman" w:cs="Times New Roman" w:eastAsia="Times New Roman" w:hAnsi="Times New Roman"/>
          <w:sz w:val="16"/>
          <w:szCs w:val="16"/>
          <w:color w:val="auto"/>
        </w:rPr>
        <w:t>Auto eInsurance service revenue increased by 36%, from US$45.9 million for the three months ended March 31, 2025 to US$62.3 million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three months ended March 31, 2026, primarily attributable to an increase in the number of insurance policies sold and higher EV insurance renewals for the three months ended March 31, 2026. EV sales have increased significantly in recent years, which has contributed to the rapid growth of our auto eInsurance business.</w:t>
      </w:r>
    </w:p>
    <w:p>
      <w:pPr>
        <w:spacing w:after="0" w:line="157" w:lineRule="exact"/>
        <w:rPr>
          <w:sz w:val="20"/>
          <w:szCs w:val="20"/>
          <w:color w:val="auto"/>
        </w:rPr>
      </w:pPr>
    </w:p>
    <w:p>
      <w:pPr>
        <w:jc w:val="both"/>
        <w:ind w:right="20" w:firstLine="563"/>
        <w:spacing w:after="0" w:line="248" w:lineRule="auto"/>
        <w:rPr>
          <w:sz w:val="20"/>
          <w:szCs w:val="20"/>
          <w:color w:val="auto"/>
        </w:rPr>
      </w:pPr>
      <w:r>
        <w:rPr>
          <w:rFonts w:ascii="Times New Roman" w:cs="Times New Roman" w:eastAsia="Times New Roman" w:hAnsi="Times New Roman"/>
          <w:sz w:val="16"/>
          <w:szCs w:val="16"/>
          <w:i w:val="1"/>
          <w:iCs w:val="1"/>
          <w:color w:val="auto"/>
        </w:rPr>
        <w:t xml:space="preserve">Technology service. </w:t>
      </w:r>
      <w:r>
        <w:rPr>
          <w:rFonts w:ascii="Times New Roman" w:cs="Times New Roman" w:eastAsia="Times New Roman" w:hAnsi="Times New Roman"/>
          <w:sz w:val="16"/>
          <w:szCs w:val="16"/>
          <w:color w:val="auto"/>
        </w:rPr>
        <w:t>Technology service revenue increased by 43%, from US$10.7 million for the three months ended March 31, 2025 to US$15.3 million for the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March 31, 2026. With growing demands to efficiently manage their businesses, more enterprise customers are now paying for our online tools to streamline their business workflows, manage their customer relationships and automate orders processing. As we continue the iterative upgrade of our technology platform, we are expanding our SaaS product offerings. Our enterprise customers have already paid for and adopted certain projects already launched and others remaining under ongoing development as part of our continuous platform enhancement process. We aim to gradually transition these enterprise customers into recurring technology service customers. Through the application of our Private Cloud Platform, we have streamlined our development processes and can easily integrate various tools for software development, testing, operations and maintenance. These improvements have strengthened our software platform and increased our business capacity to better serve customer needs. The increase in technology service revenue during the first quarter of 2026 was driven by the growth of the Auto eInsurance service and Auto service businesses.</w:t>
      </w:r>
    </w:p>
    <w:p>
      <w:pPr>
        <w:spacing w:after="0" w:line="168" w:lineRule="exact"/>
        <w:rPr>
          <w:sz w:val="20"/>
          <w:szCs w:val="20"/>
          <w:color w:val="auto"/>
        </w:rPr>
      </w:pPr>
    </w:p>
    <w:p>
      <w:pPr>
        <w:jc w:val="both"/>
        <w:ind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Auto service. </w:t>
      </w:r>
      <w:r>
        <w:rPr>
          <w:rFonts w:ascii="Times New Roman" w:cs="Times New Roman" w:eastAsia="Times New Roman" w:hAnsi="Times New Roman"/>
          <w:sz w:val="16"/>
          <w:szCs w:val="16"/>
          <w:color w:val="auto"/>
        </w:rPr>
        <w:t>Auto service revenue increased by 16%, from US$46.0 million for the three months ended March 31, 2025 to US$53.5 million for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March 31, 2026. The increase was primarily driven by the addition of new customers and the expansion of business volume during the three months ended March 31, 2026. The expansion of our service network has enabled us to serve more enterprise customers and process a higher volume of auto services during the period.</w:t>
      </w:r>
    </w:p>
    <w:p>
      <w:pPr>
        <w:spacing w:after="0" w:line="157" w:lineRule="exact"/>
        <w:rPr>
          <w:sz w:val="20"/>
          <w:szCs w:val="20"/>
          <w:color w:val="auto"/>
        </w:rPr>
      </w:pPr>
    </w:p>
    <w:p>
      <w:pPr>
        <w:jc w:val="both"/>
        <w:ind w:right="20"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Operating costs and expenses. </w:t>
      </w:r>
      <w:r>
        <w:rPr>
          <w:rFonts w:ascii="Times New Roman" w:cs="Times New Roman" w:eastAsia="Times New Roman" w:hAnsi="Times New Roman"/>
          <w:sz w:val="16"/>
          <w:szCs w:val="16"/>
          <w:color w:val="auto"/>
        </w:rPr>
        <w:t>Operating costs and expenses increased by 21%, from US$105.6 million for the three months ended March 31, 2025 to US$128.0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three months ended March 31, 2026. The increase was primarily driven by the expansion of our business operations and was generally consistent with the growth in overall revenue.</w:t>
      </w:r>
    </w:p>
    <w:p>
      <w:pPr>
        <w:spacing w:after="0" w:line="157" w:lineRule="exact"/>
        <w:rPr>
          <w:sz w:val="20"/>
          <w:szCs w:val="20"/>
          <w:color w:val="auto"/>
        </w:rPr>
      </w:pPr>
    </w:p>
    <w:p>
      <w:pPr>
        <w:jc w:val="both"/>
        <w:ind w:right="20" w:firstLine="563"/>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Integrated service cost. </w:t>
      </w:r>
      <w:r>
        <w:rPr>
          <w:rFonts w:ascii="Times New Roman" w:cs="Times New Roman" w:eastAsia="Times New Roman" w:hAnsi="Times New Roman"/>
          <w:sz w:val="16"/>
          <w:szCs w:val="16"/>
          <w:color w:val="auto"/>
        </w:rPr>
        <w:t>Integrated service costs increased by 35%, from US$48.4 million for the three months ended March 31, 2025 to US$65.2 million for the three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months ended March 31, 2026. The increase in integrated service costs was primarily due to the growth of our technology service and auto service businesses.</w:t>
      </w:r>
    </w:p>
    <w:p>
      <w:pPr>
        <w:spacing w:after="0" w:line="146" w:lineRule="exact"/>
        <w:rPr>
          <w:sz w:val="20"/>
          <w:szCs w:val="20"/>
          <w:color w:val="auto"/>
        </w:rPr>
      </w:pPr>
    </w:p>
    <w:p>
      <w:pPr>
        <w:jc w:val="both"/>
        <w:ind w:right="20" w:firstLine="563"/>
        <w:spacing w:after="0" w:line="272" w:lineRule="auto"/>
        <w:rPr>
          <w:sz w:val="20"/>
          <w:szCs w:val="20"/>
          <w:color w:val="auto"/>
        </w:rPr>
      </w:pPr>
      <w:r>
        <w:rPr>
          <w:rFonts w:ascii="Times New Roman" w:cs="Times New Roman" w:eastAsia="Times New Roman" w:hAnsi="Times New Roman"/>
          <w:sz w:val="16"/>
          <w:szCs w:val="16"/>
          <w:i w:val="1"/>
          <w:iCs w:val="1"/>
          <w:color w:val="auto"/>
        </w:rPr>
        <w:t>Promotional service expenses</w:t>
      </w:r>
      <w:r>
        <w:rPr>
          <w:rFonts w:ascii="Times New Roman" w:cs="Times New Roman" w:eastAsia="Times New Roman" w:hAnsi="Times New Roman"/>
          <w:sz w:val="16"/>
          <w:szCs w:val="16"/>
          <w:color w:val="auto"/>
        </w:rPr>
        <w:t>. Promotional service expenses increased by 29%, from US$44.7 million for the three months ended March 31, 2025 to US$57.8 million for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three months ended March 31, 2026. The increase in promotional service expenses was primarily driven by the expansion in our auto eInsurance service.</w:t>
      </w:r>
    </w:p>
    <w:p>
      <w:pPr>
        <w:spacing w:after="0" w:line="146" w:lineRule="exact"/>
        <w:rPr>
          <w:sz w:val="20"/>
          <w:szCs w:val="20"/>
          <w:color w:val="auto"/>
        </w:rPr>
      </w:pPr>
    </w:p>
    <w:p>
      <w:pPr>
        <w:jc w:val="both"/>
        <w:ind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Selling expenses</w:t>
      </w:r>
      <w:r>
        <w:rPr>
          <w:rFonts w:ascii="Times New Roman" w:cs="Times New Roman" w:eastAsia="Times New Roman" w:hAnsi="Times New Roman"/>
          <w:sz w:val="16"/>
          <w:szCs w:val="16"/>
          <w:color w:val="auto"/>
        </w:rPr>
        <w:t>. Selling expenses decreased by 57%, from US$6.1 million for the three months ended March 31, 2025 to US$2.6 million for the three months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March 31, 2026, primarily due to a US$3.8 million decrease in advertising expenses, partially offset by a US$0.5 million increase in information service fees, mainly related to cloud infrastructure support.</w:t>
      </w:r>
    </w:p>
    <w:p>
      <w:pPr>
        <w:spacing w:after="0" w:line="157" w:lineRule="exact"/>
        <w:rPr>
          <w:sz w:val="20"/>
          <w:szCs w:val="20"/>
          <w:color w:val="auto"/>
        </w:rPr>
      </w:pPr>
    </w:p>
    <w:p>
      <w:pPr>
        <w:jc w:val="both"/>
        <w:ind w:right="20"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General and administrative expenses. </w:t>
      </w:r>
      <w:r>
        <w:rPr>
          <w:rFonts w:ascii="Times New Roman" w:cs="Times New Roman" w:eastAsia="Times New Roman" w:hAnsi="Times New Roman"/>
          <w:sz w:val="16"/>
          <w:szCs w:val="16"/>
          <w:color w:val="auto"/>
        </w:rPr>
        <w:t>General and administrative expenses decreased by 76%, from US$5.4 million for the three months ended March 31, 2025 to US$1.3</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three months ended March 31, 2026, primarily due to a US$3.0 million decrease in provision for credit losses, mainly attributable to enhanced accounts receivable management.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37" w:name="page38"/>
    <w:bookmarkEnd w:id="37"/>
    <w:p>
      <w:pPr>
        <w:jc w:val="both"/>
        <w:ind w:left="6" w:right="20" w:firstLine="563"/>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Research and development expenses increased by 26%, from US$0.9 million for the three months ended March 31, 2025 to US$1.2</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three months ended March 31, 2026, primarily due to an increase of US$0.3 million in technology service fees due to the increase in external services.</w:t>
      </w:r>
    </w:p>
    <w:p>
      <w:pPr>
        <w:spacing w:after="0" w:line="146" w:lineRule="exact"/>
        <w:rPr>
          <w:sz w:val="20"/>
          <w:szCs w:val="20"/>
          <w:color w:val="auto"/>
        </w:rPr>
      </w:pPr>
    </w:p>
    <w:p>
      <w:pPr>
        <w:jc w:val="both"/>
        <w:ind w:left="6" w:firstLine="563"/>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Net (loss)/income and Adjusted EBITDA. </w:t>
      </w:r>
      <w:r>
        <w:rPr>
          <w:rFonts w:ascii="Times New Roman" w:cs="Times New Roman" w:eastAsia="Times New Roman" w:hAnsi="Times New Roman"/>
          <w:sz w:val="16"/>
          <w:szCs w:val="16"/>
          <w:color w:val="auto"/>
        </w:rPr>
        <w:t>We recorded net income of US$1.6 million for the three months ended March 31, 2026, compared with a net loss of US$3.6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same period in 2025, representing an improvement of US$5.2 million as we turned profitable during the period, which reflects revenue growth from our business expansion in the EV insurance and technology services along with disciplined expense management. Meanwhile, Adjusted EBITDA increased to US$4.5 million from negative US$1.3 million, and Adjusted EBITDA margin improved to 3.4% from negative 1.3%, reflecting improved operating performance and cost efficiency. See our reconciliation of Net (loss)/income to Adjusted EBITDA within the section titled “Non-GAAP Financial Measures.”</w:t>
      </w:r>
    </w:p>
    <w:p>
      <w:pPr>
        <w:spacing w:after="0" w:line="16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3" w:lineRule="exact"/>
        <w:rPr>
          <w:sz w:val="20"/>
          <w:szCs w:val="20"/>
          <w:color w:val="auto"/>
        </w:rPr>
      </w:pPr>
    </w:p>
    <w:p>
      <w:pPr>
        <w:jc w:val="both"/>
        <w:ind w:left="6" w:firstLine="563"/>
        <w:spacing w:after="0" w:line="247" w:lineRule="auto"/>
        <w:rPr>
          <w:sz w:val="20"/>
          <w:szCs w:val="20"/>
          <w:color w:val="auto"/>
        </w:rPr>
      </w:pPr>
      <w:r>
        <w:rPr>
          <w:rFonts w:ascii="Times New Roman" w:cs="Times New Roman" w:eastAsia="Times New Roman" w:hAnsi="Times New Roman"/>
          <w:sz w:val="16"/>
          <w:szCs w:val="16"/>
          <w:color w:val="auto"/>
        </w:rPr>
        <w:t>In addition to our results being determined in accordance with GAAP, the Company’s management believes that Adjusted EBITDA, which is a non-GAAP measure that excludes certain non-recurring items such as costs and expenses related to capital raises, is useful in evaluating our operational performance. The Company uses this non-GAAP financial information to evaluate our ongoing operations and for internal planning, budgeting and forecasting purposes. We believe that this non-GAAP financial information, when taken collectively with GAAP measures, may be helpful to investors in assessing our operating performance and comparing our performance with competitors and other comparable companies, which may or may not present similar non-GAAP financial measures to investors. Our computation of these non-GAAP measures may not be comparable to other similarly titled measures computed by other companies, because all companies may not calculate these measures in the same fashion. We endeavor to compensate for the limitation of the non-GAAP measure presented by also providing the most directly comparable GAAP measure and a description of the reconciling items and adjustments to derive the non-GAAP measure. This non-GAAP measure should be considered in addition to results prepared in accordance with GAAP but should not be considered in isolation or as a substitute for performance measures calculated in accordance with GAAP. We compensate for these limitations by relying primarily on our GAAP results and using non-GAAP measures on a supplemental basis.</w:t>
      </w:r>
    </w:p>
    <w:p>
      <w:pPr>
        <w:spacing w:after="0" w:line="16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i w:val="1"/>
          <w:iCs w:val="1"/>
          <w:color w:val="auto"/>
        </w:rPr>
        <w:t>Adjusted EBITDA</w:t>
      </w:r>
    </w:p>
    <w:p>
      <w:pPr>
        <w:spacing w:after="0" w:line="193" w:lineRule="exact"/>
        <w:rPr>
          <w:sz w:val="20"/>
          <w:szCs w:val="20"/>
          <w:color w:val="auto"/>
        </w:rPr>
      </w:pPr>
    </w:p>
    <w:p>
      <w:pPr>
        <w:jc w:val="both"/>
        <w:ind w:left="6" w:right="20" w:firstLine="563"/>
        <w:spacing w:after="0" w:line="253" w:lineRule="auto"/>
        <w:rPr>
          <w:sz w:val="20"/>
          <w:szCs w:val="20"/>
          <w:color w:val="auto"/>
        </w:rPr>
      </w:pPr>
      <w:r>
        <w:rPr>
          <w:rFonts w:ascii="Times New Roman" w:cs="Times New Roman" w:eastAsia="Times New Roman" w:hAnsi="Times New Roman"/>
          <w:sz w:val="16"/>
          <w:szCs w:val="16"/>
          <w:color w:val="auto"/>
        </w:rPr>
        <w:t>We believe that Adjusted EBITDA, as defined below, is useful in evaluating our operational performance distinct and apart from certain expenses that may not be indicative of our recurring core business operating results and non-operational expenses. Adjusted EBITDA is defined as Net (loss)/income adjusted for depreciation and amortization, financial expenses, net, investment income, change of fair value of warrant liabilities, other non-recurring income, net, income tax expense, share-based compensation and non-recurring expenses related to the Business Combination and prior and subsequent capital raises.</w:t>
      </w:r>
    </w:p>
    <w:p>
      <w:pPr>
        <w:spacing w:after="0" w:line="163" w:lineRule="exact"/>
        <w:rPr>
          <w:sz w:val="20"/>
          <w:szCs w:val="20"/>
          <w:color w:val="auto"/>
        </w:rPr>
      </w:pPr>
    </w:p>
    <w:p>
      <w:pPr>
        <w:jc w:val="both"/>
        <w:ind w:left="6" w:firstLine="563"/>
        <w:spacing w:after="0" w:line="270" w:lineRule="auto"/>
        <w:rPr>
          <w:sz w:val="20"/>
          <w:szCs w:val="20"/>
          <w:color w:val="auto"/>
        </w:rPr>
      </w:pPr>
      <w:r>
        <w:rPr>
          <w:rFonts w:ascii="Times New Roman" w:cs="Times New Roman" w:eastAsia="Times New Roman" w:hAnsi="Times New Roman"/>
          <w:sz w:val="16"/>
          <w:szCs w:val="16"/>
          <w:color w:val="auto"/>
        </w:rPr>
        <w:t>Net (loss)/profit margin is defined as net (loss)/income divided by total revenues, and Adjusted EBITDA Margin is defined as Adjusted EBITDA divided by total revenues.</w:t>
      </w:r>
    </w:p>
    <w:p>
      <w:pPr>
        <w:spacing w:after="0" w:line="149"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86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The following table reconciles net (loss)/income to Adjusted EBITDA for the three months ended March 31, 2025 and 2026.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7"/>
              </w:rPr>
              <w:t>For the three months ended</w:t>
            </w:r>
          </w:p>
        </w:tc>
        <w:tc>
          <w:tcPr>
            <w:tcW w:w="0" w:type="dxa"/>
            <w:vAlign w:val="bottom"/>
          </w:tcPr>
          <w:p>
            <w:pPr>
              <w:spacing w:after="0"/>
              <w:rPr>
                <w:sz w:val="1"/>
                <w:szCs w:val="1"/>
                <w:color w:val="auto"/>
              </w:rPr>
            </w:pPr>
          </w:p>
        </w:tc>
      </w:tr>
      <w:tr>
        <w:trPr>
          <w:trHeight w:val="210"/>
        </w:trPr>
        <w:tc>
          <w:tcPr>
            <w:tcW w:w="8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center"/>
              <w:ind w:left="442"/>
              <w:spacing w:after="0"/>
              <w:rPr>
                <w:sz w:val="20"/>
                <w:szCs w:val="20"/>
                <w:color w:val="auto"/>
              </w:rPr>
            </w:pPr>
            <w:r>
              <w:rPr>
                <w:rFonts w:ascii="Times New Roman" w:cs="Times New Roman" w:eastAsia="Times New Roman" w:hAnsi="Times New Roman"/>
                <w:sz w:val="16"/>
                <w:szCs w:val="16"/>
                <w:b w:val="1"/>
                <w:bCs w:val="1"/>
                <w:color w:val="auto"/>
                <w:w w:val="96"/>
              </w:rPr>
              <w:t>(In thousands)</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(loss)/income</w:t>
            </w: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right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(3,647)</w:t>
            </w: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200" w:type="dxa"/>
            <w:vAlign w:val="bottom"/>
          </w:tcPr>
          <w:p>
            <w:pPr>
              <w:spacing w:after="0"/>
              <w:rPr>
                <w:sz w:val="16"/>
                <w:szCs w:val="16"/>
                <w:color w:val="auto"/>
              </w:rPr>
            </w:pPr>
          </w:p>
        </w:tc>
        <w:tc>
          <w:tcPr>
            <w:tcW w:w="118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1,272</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expenses, net</w:t>
            </w:r>
          </w:p>
        </w:tc>
        <w:tc>
          <w:tcPr>
            <w:tcW w:w="200" w:type="dxa"/>
            <w:vAlign w:val="bottom"/>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1,029</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1,149</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income</w:t>
            </w:r>
          </w:p>
        </w:tc>
        <w:tc>
          <w:tcPr>
            <w:tcW w:w="200" w:type="dxa"/>
            <w:vAlign w:val="bottom"/>
          </w:tcPr>
          <w:p>
            <w:pPr>
              <w:spacing w:after="0"/>
              <w:rPr>
                <w:sz w:val="16"/>
                <w:szCs w:val="16"/>
                <w:color w:val="auto"/>
              </w:rPr>
            </w:pP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(122)</w:t>
            </w:r>
          </w:p>
        </w:tc>
        <w:tc>
          <w:tcPr>
            <w:tcW w:w="3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non-recurring income, net</w:t>
            </w:r>
          </w:p>
        </w:tc>
        <w:tc>
          <w:tcPr>
            <w:tcW w:w="200" w:type="dxa"/>
            <w:vAlign w:val="bottom"/>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(134)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188"/>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Income tax (benefit)/expense</w:t>
            </w:r>
          </w:p>
        </w:tc>
        <w:tc>
          <w:tcPr>
            <w:tcW w:w="200" w:type="dxa"/>
            <w:vAlign w:val="bottom"/>
          </w:tcPr>
          <w:p>
            <w:pPr>
              <w:spacing w:after="0"/>
              <w:rPr>
                <w:sz w:val="16"/>
                <w:szCs w:val="16"/>
                <w:color w:val="auto"/>
              </w:rPr>
            </w:pPr>
          </w:p>
        </w:tc>
        <w:tc>
          <w:tcPr>
            <w:tcW w:w="118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(84)</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5"/>
                <w:szCs w:val="15"/>
                <w:color w:val="auto"/>
              </w:rPr>
              <w:t xml:space="preserve">Share-based compensation </w:t>
            </w:r>
            <w:r>
              <w:rPr>
                <w:rFonts w:ascii="Times New Roman" w:cs="Times New Roman" w:eastAsia="Times New Roman" w:hAnsi="Times New Roman"/>
                <w:sz w:val="25"/>
                <w:szCs w:val="25"/>
                <w:color w:val="auto"/>
                <w:vertAlign w:val="superscript"/>
              </w:rPr>
              <w:t>(1)</w:t>
            </w:r>
          </w:p>
        </w:tc>
        <w:tc>
          <w:tcPr>
            <w:tcW w:w="20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370</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600" w:type="dxa"/>
            <w:vAlign w:val="bottom"/>
          </w:tcPr>
          <w:p>
            <w:pPr>
              <w:spacing w:after="0" w:line="235" w:lineRule="exact"/>
              <w:rPr>
                <w:sz w:val="20"/>
                <w:szCs w:val="20"/>
                <w:color w:val="auto"/>
              </w:rPr>
            </w:pPr>
            <w:r>
              <w:rPr>
                <w:rFonts w:ascii="Times New Roman" w:cs="Times New Roman" w:eastAsia="Times New Roman" w:hAnsi="Times New Roman"/>
                <w:sz w:val="16"/>
                <w:szCs w:val="16"/>
                <w:color w:val="auto"/>
              </w:rPr>
              <w:t xml:space="preserve">Transaction fees </w:t>
            </w:r>
            <w:r>
              <w:rPr>
                <w:rFonts w:ascii="Times New Roman" w:cs="Times New Roman" w:eastAsia="Times New Roman" w:hAnsi="Times New Roman"/>
                <w:sz w:val="26"/>
                <w:szCs w:val="26"/>
                <w:color w:val="auto"/>
                <w:vertAlign w:val="superscript"/>
              </w:rPr>
              <w:t>(2)</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8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CCEEFF"/>
            </w:tcBorders>
            <w:vMerge w:val="restart"/>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(1,301</w:t>
            </w:r>
          </w:p>
        </w:tc>
        <w:tc>
          <w:tcPr>
            <w:tcW w:w="280" w:type="dxa"/>
            <w:vAlign w:val="bottom"/>
            <w:tcBorders>
              <w:right w:val="single" w:sz="8" w:color="CCEEFF"/>
            </w:tcBorders>
            <w:vMerge w:val="continue"/>
            <w:shd w:val="clear" w:color="auto" w:fill="CCEEFF"/>
          </w:tcPr>
          <w:p>
            <w:pPr>
              <w:spacing w:after="0"/>
              <w:rPr>
                <w:sz w:val="18"/>
                <w:szCs w:val="18"/>
                <w:color w:val="auto"/>
              </w:rPr>
            </w:pPr>
          </w:p>
        </w:tc>
        <w:tc>
          <w:tcPr>
            <w:tcW w:w="38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4,524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(Loss)/income Margin</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2"/>
              <w:spacing w:after="0" w:line="183" w:lineRule="exact"/>
              <w:rPr>
                <w:sz w:val="20"/>
                <w:szCs w:val="20"/>
                <w:color w:val="auto"/>
              </w:rPr>
            </w:pPr>
            <w:r>
              <w:rPr>
                <w:rFonts w:ascii="Times New Roman" w:cs="Times New Roman" w:eastAsia="Times New Roman" w:hAnsi="Times New Roman"/>
                <w:sz w:val="16"/>
                <w:szCs w:val="16"/>
                <w:b w:val="1"/>
                <w:bCs w:val="1"/>
                <w:color w:val="auto"/>
              </w:rPr>
              <w:t>-3.6%</w:t>
            </w:r>
          </w:p>
        </w:tc>
        <w:tc>
          <w:tcPr>
            <w:tcW w:w="380" w:type="dxa"/>
            <w:vAlign w:val="bottom"/>
          </w:tcPr>
          <w:p>
            <w:pPr>
              <w:spacing w:after="0"/>
              <w:rPr>
                <w:sz w:val="15"/>
                <w:szCs w:val="15"/>
                <w:color w:val="auto"/>
              </w:rPr>
            </w:pPr>
          </w:p>
        </w:tc>
        <w:tc>
          <w:tcPr>
            <w:tcW w:w="900" w:type="dxa"/>
            <w:vAlign w:val="bottom"/>
            <w:gridSpan w:val="2"/>
          </w:tcPr>
          <w:p>
            <w:pPr>
              <w:jc w:val="right"/>
              <w:ind w:right="20"/>
              <w:spacing w:after="0" w:line="183" w:lineRule="exact"/>
              <w:rPr>
                <w:sz w:val="20"/>
                <w:szCs w:val="20"/>
                <w:color w:val="auto"/>
              </w:rPr>
            </w:pPr>
            <w:r>
              <w:rPr>
                <w:rFonts w:ascii="Times New Roman" w:cs="Times New Roman" w:eastAsia="Times New Roman" w:hAnsi="Times New Roman"/>
                <w:sz w:val="16"/>
                <w:szCs w:val="16"/>
                <w:b w:val="1"/>
                <w:bCs w:val="1"/>
                <w:color w:val="auto"/>
              </w:rPr>
              <w:t>1.2%</w:t>
            </w:r>
          </w:p>
        </w:tc>
        <w:tc>
          <w:tcPr>
            <w:tcW w:w="0" w:type="dxa"/>
            <w:vAlign w:val="bottom"/>
          </w:tcPr>
          <w:p>
            <w:pPr>
              <w:spacing w:after="0"/>
              <w:rPr>
                <w:sz w:val="1"/>
                <w:szCs w:val="1"/>
                <w:color w:val="auto"/>
              </w:rPr>
            </w:pPr>
          </w:p>
        </w:tc>
      </w:tr>
      <w:tr>
        <w:trPr>
          <w:trHeight w:val="188"/>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200" w:type="dxa"/>
            <w:vAlign w:val="bottom"/>
            <w:shd w:val="clear" w:color="auto" w:fill="CCEEFF"/>
          </w:tcPr>
          <w:p>
            <w:pPr>
              <w:spacing w:after="0"/>
              <w:rPr>
                <w:sz w:val="16"/>
                <w:szCs w:val="16"/>
                <w:color w:val="auto"/>
              </w:rPr>
            </w:pPr>
          </w:p>
        </w:tc>
        <w:tc>
          <w:tcPr>
            <w:tcW w:w="118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86" w:hanging="286"/>
        <w:spacing w:after="0"/>
        <w:tabs>
          <w:tab w:leader="none" w:pos="28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expense related to compensation costs for equity classified awards (both for the subsidiary and the Group).</w:t>
      </w:r>
    </w:p>
    <w:p>
      <w:pPr>
        <w:spacing w:after="0" w:line="191" w:lineRule="exact"/>
        <w:rPr>
          <w:rFonts w:ascii="Times New Roman" w:cs="Times New Roman" w:eastAsia="Times New Roman" w:hAnsi="Times New Roman"/>
          <w:sz w:val="16"/>
          <w:szCs w:val="16"/>
          <w:color w:val="auto"/>
        </w:rPr>
      </w:pPr>
    </w:p>
    <w:p>
      <w:pPr>
        <w:ind w:left="286" w:hanging="286"/>
        <w:spacing w:after="0"/>
        <w:tabs>
          <w:tab w:leader="none" w:pos="286"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non-recurring transaction-related fees and expenses associated with the Company’s Business Combination and prior and subsequent capital raises.</w:t>
      </w:r>
    </w:p>
    <w:p>
      <w:pPr>
        <w:spacing w:after="0" w:line="37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5010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6"/>
          </w:cols>
          <w:pgMar w:left="314" w:top="778"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193" w:lineRule="exact"/>
        <w:rPr>
          <w:sz w:val="20"/>
          <w:szCs w:val="20"/>
          <w:color w:val="auto"/>
        </w:rPr>
      </w:pPr>
    </w:p>
    <w:p>
      <w:pPr>
        <w:jc w:val="both"/>
        <w:ind w:right="20" w:firstLine="563"/>
        <w:spacing w:after="0" w:line="270" w:lineRule="auto"/>
        <w:rPr>
          <w:sz w:val="20"/>
          <w:szCs w:val="20"/>
          <w:color w:val="auto"/>
        </w:rPr>
      </w:pPr>
      <w:r>
        <w:rPr>
          <w:rFonts w:ascii="Times New Roman" w:cs="Times New Roman" w:eastAsia="Times New Roman" w:hAnsi="Times New Roman"/>
          <w:sz w:val="16"/>
          <w:szCs w:val="16"/>
          <w:color w:val="auto"/>
        </w:rPr>
        <w:t>Under the current laws of the Cayman Islands, we are not subject to tax on income or capital gain. Additionally, upon payments of dividends to the shareholders, no Cayman Islands withholding tax will be imposed.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British Virgin Islands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Our subsidiaries incorporated in the BVI are not subject to taxation in the British Virgin Islands.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193"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According to Tax (Amendment) (No. 3) Ordinance 2018 published by Hong Kong government, from April 1, 2018, under the two-tiered profits tax rates regime, the profits tax rate for the first HKD2 million of assessable profits will be lowered to 8.25% (half of the rate specified in Schedule 8 to the Inland Revenue Ordinance (IRO)) for corporations, and the remaining profits will continue to be taxed at the existing tax rate, 16.5%. No provision for Hong Kong profits tax had been made to China Auto Market Group Ltd., a subsidiary of us, during the three months ended March 31, 2025 and 2026 as it did not have assessable profit during the periods presented.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PRC</w:t>
      </w:r>
    </w:p>
    <w:p>
      <w:pPr>
        <w:spacing w:after="0" w:line="193" w:lineRule="exact"/>
        <w:rPr>
          <w:sz w:val="20"/>
          <w:szCs w:val="20"/>
          <w:color w:val="auto"/>
        </w:rPr>
      </w:pPr>
    </w:p>
    <w:p>
      <w:pPr>
        <w:jc w:val="both"/>
        <w:ind w:right="20" w:firstLine="563"/>
        <w:spacing w:after="0" w:line="270" w:lineRule="auto"/>
        <w:rPr>
          <w:sz w:val="20"/>
          <w:szCs w:val="20"/>
          <w:color w:val="auto"/>
        </w:rPr>
      </w:pPr>
      <w:r>
        <w:rPr>
          <w:rFonts w:ascii="Times New Roman" w:cs="Times New Roman" w:eastAsia="Times New Roman" w:hAnsi="Times New Roman"/>
          <w:sz w:val="16"/>
          <w:szCs w:val="16"/>
          <w:color w:val="auto"/>
        </w:rPr>
        <w:t>Generally, our subsidiaries, which are considered PRC resident enterprises under PRC tax law, are subject to enterprise income tax on their worldwide taxable income as determined under PRC tax laws and accounting standards at a rate of 25%.</w:t>
      </w:r>
    </w:p>
    <w:p>
      <w:pPr>
        <w:spacing w:after="0" w:line="149" w:lineRule="exact"/>
        <w:rPr>
          <w:sz w:val="20"/>
          <w:szCs w:val="20"/>
          <w:color w:val="auto"/>
        </w:rPr>
      </w:pPr>
    </w:p>
    <w:p>
      <w:pPr>
        <w:jc w:val="both"/>
        <w:ind w:right="20" w:firstLine="563"/>
        <w:spacing w:after="0" w:line="251" w:lineRule="auto"/>
        <w:rPr>
          <w:sz w:val="20"/>
          <w:szCs w:val="20"/>
          <w:color w:val="auto"/>
        </w:rPr>
      </w:pPr>
      <w:r>
        <w:rPr>
          <w:rFonts w:ascii="Times New Roman" w:cs="Times New Roman" w:eastAsia="Times New Roman" w:hAnsi="Times New Roman"/>
          <w:sz w:val="16"/>
          <w:szCs w:val="16"/>
          <w:color w:val="auto"/>
        </w:rPr>
        <w:t>According to Taxation [2022] No. 13, which was effective from January 1, 2022 to December 31, 2024, a small-scale and low-profit enterprise receives a tax preference including a preferential tax rate of 5% on its taxable income between RMB1 million and RMB3 million. According to Taxation [2023] No. 06, which was effective from January 1, 2023 to December 31, 2024, a small-scale and low-profit enterprise receives a tax preference including a preferential tax rate of 5% on its taxable income below RMB1 million. According to Taxation [2023] No. 12, which was effective from January 1, 2023 to December 31, 2027, a small-scale and low-profit enterprise receives a tax preference including a preferential tax rate of 5% on its taxable income below RMB1 million.</w:t>
      </w:r>
    </w:p>
    <w:p>
      <w:pPr>
        <w:spacing w:after="0" w:line="164" w:lineRule="exact"/>
        <w:rPr>
          <w:sz w:val="20"/>
          <w:szCs w:val="20"/>
          <w:color w:val="auto"/>
        </w:rPr>
      </w:pPr>
    </w:p>
    <w:p>
      <w:pPr>
        <w:jc w:val="both"/>
        <w:ind w:right="20" w:firstLine="563"/>
        <w:spacing w:after="0" w:line="251" w:lineRule="auto"/>
        <w:rPr>
          <w:sz w:val="20"/>
          <w:szCs w:val="20"/>
          <w:color w:val="auto"/>
        </w:rPr>
      </w:pPr>
      <w:r>
        <w:rPr>
          <w:rFonts w:ascii="Times New Roman" w:cs="Times New Roman" w:eastAsia="Times New Roman" w:hAnsi="Times New Roman"/>
          <w:sz w:val="16"/>
          <w:szCs w:val="16"/>
          <w:color w:val="auto"/>
        </w:rPr>
        <w:t>High and new technology enterprises enjoy a preferential tax rate of 15% under PRC tax law. Shanghai Chengle Network Technology Co., Limited, one of our subsidiaries, currently qualifies as a “new high-tech enterprise”, and has been entitled to the preferential rate of 15% from 2018 through 2021, and successfully renewed the qualification in December 2021 and December 2024, which would be effective for 3 years. Shengda Automobile, one of our key subsidiaries, qualified as a “new high-tech enterprise” and was entitled to a preferential tax rate of 15% from 2018 through 2021, and successfully renewed the qualification in December 2021 and December 2024, which would be effective for 3 years.</w:t>
      </w:r>
    </w:p>
    <w:p>
      <w:pPr>
        <w:spacing w:after="0" w:line="164" w:lineRule="exact"/>
        <w:rPr>
          <w:sz w:val="20"/>
          <w:szCs w:val="20"/>
          <w:color w:val="auto"/>
        </w:rPr>
      </w:pPr>
    </w:p>
    <w:p>
      <w:pPr>
        <w:jc w:val="both"/>
        <w:ind w:firstLine="563"/>
        <w:spacing w:after="0" w:line="253" w:lineRule="auto"/>
        <w:rPr>
          <w:sz w:val="20"/>
          <w:szCs w:val="20"/>
          <w:color w:val="auto"/>
        </w:rPr>
      </w:pPr>
      <w:r>
        <w:rPr>
          <w:rFonts w:ascii="Times New Roman" w:cs="Times New Roman" w:eastAsia="Times New Roman" w:hAnsi="Times New Roman"/>
          <w:sz w:val="16"/>
          <w:szCs w:val="16"/>
          <w:color w:val="auto"/>
        </w:rPr>
        <w:t>Dividends paid by its wholly foreign-owned subsidiaries in China to its intermediary holding companies in Hong Kong will be subject to a withholding tax rate of 10%, unless they qualify for a special exemption. If its intermediary holding companies in Hong Kong satisfy all the requirements under the Arrangement between Mainland China and the Hong Kong Special Administrative Region for the Avoidance of Double Taxation and Tax Evasion on Income and receive approval from the relevant tax authority, then dividends paid to them by its wholly foreign-owned subsidiaries in China will be subject to a withholding tax rate of 5% instead.</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78" w:right="319" w:bottom="1440" w:gutter="0" w:footer="0" w:header="0"/>
        </w:sectPr>
      </w:pPr>
    </w:p>
    <w:bookmarkStart w:id="39" w:name="page40"/>
    <w:bookmarkEnd w:id="39"/>
    <w:p>
      <w:pPr>
        <w:ind w:firstLine="563"/>
        <w:spacing w:after="0" w:line="270" w:lineRule="auto"/>
        <w:rPr>
          <w:sz w:val="20"/>
          <w:szCs w:val="20"/>
          <w:color w:val="auto"/>
        </w:rPr>
      </w:pPr>
      <w:r>
        <w:rPr>
          <w:rFonts w:ascii="Times New Roman" w:cs="Times New Roman" w:eastAsia="Times New Roman" w:hAnsi="Times New Roman"/>
          <w:sz w:val="16"/>
          <w:szCs w:val="16"/>
          <w:color w:val="auto"/>
        </w:rPr>
        <w:t>If our holding company in the Cayman Islands or any of its subsidiaries outside of China were deemed to be a “resident enterprise” under the Enterprise Income Tax Law, it would be subject to enterprise income tax on its worldwide income at a rate of 25%.</w:t>
      </w:r>
    </w:p>
    <w:p>
      <w:pPr>
        <w:sectPr>
          <w:pgSz w:w="11900" w:h="16838" w:orient="portrait"/>
          <w:cols w:equalWidth="0" w:num="1">
            <w:col w:w="11260"/>
          </w:cols>
          <w:pgMar w:left="320" w:top="967" w:right="319" w:bottom="1440" w:gutter="0" w:footer="0" w:header="0"/>
        </w:sectPr>
      </w:pP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150100" cy="1193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Net cash used in investing activities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50100" cy="119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0100" cy="11938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Effect of exchange rate changes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increase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150100" cy="156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0100"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pacing w:after="0" w:line="2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40" w:type="dxa"/>
            <w:vAlign w:val="bottom"/>
          </w:tcPr>
          <w:p>
            <w:pPr>
              <w:spacing w:after="0"/>
              <w:rPr>
                <w:sz w:val="14"/>
                <w:szCs w:val="14"/>
                <w:color w:val="auto"/>
              </w:rPr>
            </w:pPr>
          </w:p>
        </w:tc>
        <w:tc>
          <w:tcPr>
            <w:tcW w:w="1500" w:type="dxa"/>
            <w:vAlign w:val="bottom"/>
            <w:gridSpan w:val="3"/>
          </w:tcPr>
          <w:p>
            <w:pPr>
              <w:jc w:val="right"/>
              <w:spacing w:after="0" w:line="17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(9,265)</w:t>
            </w:r>
          </w:p>
        </w:tc>
        <w:tc>
          <w:tcPr>
            <w:tcW w:w="38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(7,936)</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(138)</w:t>
            </w: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(2,764)</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23,137</w:t>
            </w:r>
          </w:p>
        </w:tc>
        <w:tc>
          <w:tcPr>
            <w:tcW w:w="38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0" w:type="dxa"/>
            <w:vAlign w:val="bottom"/>
          </w:tcPr>
          <w:p>
            <w:pPr>
              <w:spacing w:after="0"/>
              <w:rPr>
                <w:sz w:val="1"/>
                <w:szCs w:val="1"/>
                <w:color w:val="auto"/>
              </w:rPr>
            </w:pPr>
          </w:p>
        </w:tc>
      </w:tr>
      <w:tr>
        <w:trPr>
          <w:trHeight w:val="219"/>
        </w:trPr>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(1,427)</w:t>
            </w: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5"/>
        </w:trPr>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12,307</w:t>
            </w: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960" w:space="720"/>
            <w:col w:w="2580"/>
          </w:cols>
          <w:pgMar w:left="320" w:top="967" w:right="319" w:bottom="1440" w:gutter="0" w:footer="0" w:header="0"/>
          <w:type w:val="continuous"/>
        </w:sect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Our principal sources of liquidity have been cash provided from bank borrowings and revenue generated from business operations. As of March 31, 2026, we had US$13.5 million in cash, and US$3.1 million restricted cash, of which US$12.8 million in cash and US$3.1 million in restricted cash were denominated in Renminbi held at banks located in China, US$0.7 million in cash was denominated in US dollar and HK dollar held at banks located in United States and Hong Kong.</w:t>
      </w:r>
    </w:p>
    <w:p>
      <w:pPr>
        <w:spacing w:after="0" w:line="160"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We believe that our current cash on hand, short-term investments, and cash provided by equity securities will be sufficient to meet the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expenditures, or similar actions. If we determine that the cash requirements exceed the amount of cash on hand, we may seek to issue equity or equity-linked securities or obtain debt financing. The issuance and sale of additional equity would result in further dilution to shareholders. The incurrence of indebtedness would result in increased fixed obligations and could result in operating covenants that would restrict our operations.</w:t>
      </w:r>
    </w:p>
    <w:p>
      <w:pPr>
        <w:spacing w:after="0" w:line="168"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We expect that substantially all of our future revenues will be denominated in RMB.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RMB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Activities</w:t>
      </w:r>
    </w:p>
    <w:p>
      <w:pPr>
        <w:spacing w:after="0" w:line="193" w:lineRule="exact"/>
        <w:rPr>
          <w:sz w:val="20"/>
          <w:szCs w:val="20"/>
          <w:color w:val="auto"/>
        </w:rPr>
      </w:pPr>
    </w:p>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2026 was US$7.9 million, as compared to net income of US$1.6 million. The difference between net income and net cash used in operating activities was primarily attributable to (i) a non-cash adjustment of reversal for credit losses of US$1.9 million and depreciation of US$1.5 million, and (ii) an increase of prepaid expenses and other current assets of US$27.9 million due to the increase of advances to suppliers for the expansion of business, partially offset by (iii) a decrease in accounts receivable of US$16.3 million due to the collection from customers, and (iv) an increase of accounts payable of US$4.9 million primarily due to the growth of our business.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967" w:right="319" w:bottom="1440" w:gutter="0" w:footer="0" w:header="0"/>
          <w:type w:val="continuous"/>
        </w:sectPr>
      </w:pPr>
    </w:p>
    <w:bookmarkStart w:id="40" w:name="page41"/>
    <w:bookmarkEnd w:id="40"/>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Net cash used in operating activities for the three months ended March 31, 2025 was US$9.3 million, as compared to net loss of US$3.6 million. The difference between net loss and net cash used in operating activities was primarily attributable to (i) a non-cash adjustment of depreciation of US$1.3 million and provision for credit losses of US$1.1 million, and (ii) increases in prepaid expenses and other current assets of US$10.0 million, primarily due to increased advances to suppliers in connection with expansion of business, and an increase of accounts receivable of US$8.8 million was due to the increase of sales, partially offset by (iii) an increase of accounts payable of US$9.8 million, primarily due to the growth of our technology service business and an increase of deferred revenue of US$1.1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Investing Activities</w:t>
      </w:r>
    </w:p>
    <w:p>
      <w:pPr>
        <w:spacing w:after="0" w:line="193" w:lineRule="exact"/>
        <w:rPr>
          <w:sz w:val="20"/>
          <w:szCs w:val="20"/>
          <w:color w:val="auto"/>
        </w:rPr>
      </w:pPr>
    </w:p>
    <w:p>
      <w:pPr>
        <w:jc w:val="both"/>
        <w:ind w:firstLine="563"/>
        <w:spacing w:after="0" w:line="270" w:lineRule="auto"/>
        <w:rPr>
          <w:sz w:val="20"/>
          <w:szCs w:val="20"/>
          <w:color w:val="auto"/>
        </w:rPr>
      </w:pPr>
      <w:r>
        <w:rPr>
          <w:rFonts w:ascii="Times New Roman" w:cs="Times New Roman" w:eastAsia="Times New Roman" w:hAnsi="Times New Roman"/>
          <w:sz w:val="16"/>
          <w:szCs w:val="16"/>
          <w:color w:val="auto"/>
        </w:rPr>
        <w:t>Net cash used in investing activities for the three months ended March 31, 2026 was US$2.8 million, primarily for the purchase of other cloud infrastructure and artificial intelligence platforms.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Net cash used in investing activities for the three months ended March 31, 2025 was US$0.1 million, primarily for the purchase of short-term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Financing Activities</w:t>
      </w:r>
    </w:p>
    <w:p>
      <w:pPr>
        <w:spacing w:after="0" w:line="193" w:lineRule="exact"/>
        <w:rPr>
          <w:sz w:val="20"/>
          <w:szCs w:val="20"/>
          <w:color w:val="auto"/>
        </w:rPr>
      </w:pPr>
    </w:p>
    <w:p>
      <w:pPr>
        <w:jc w:val="both"/>
        <w:ind w:right="20" w:firstLine="563"/>
        <w:spacing w:after="0" w:line="270" w:lineRule="auto"/>
        <w:rPr>
          <w:sz w:val="20"/>
          <w:szCs w:val="20"/>
          <w:color w:val="auto"/>
        </w:rPr>
      </w:pPr>
      <w:r>
        <w:rPr>
          <w:rFonts w:ascii="Times New Roman" w:cs="Times New Roman" w:eastAsia="Times New Roman" w:hAnsi="Times New Roman"/>
          <w:sz w:val="16"/>
          <w:szCs w:val="16"/>
          <w:color w:val="auto"/>
        </w:rPr>
        <w:t>Net cash used in financing activities for the three months ended March 31, 2026 was US$1.3 million, consisting primarily of repayments of bank borrowings of US$29.1 million and payments for GEM litigation of US$1.6 million, partially offset by proceeds from short-term bank borrowings of US$29.6 million.</w:t>
      </w:r>
    </w:p>
    <w:p>
      <w:pPr>
        <w:spacing w:after="0" w:line="149"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Net cash provided by financing activities for the three months ended March 31, 2025 was US$23.1 million, consisting primarily of proceeds from issuance of ordinary shares, net of issuance cost of US$41.6 million and proceeds of short-term bank borrowings of US$29.5 million, and offset by repayments of short-term bank borrowings of US$29.3 million, repurchase of shares of US$13.8 million and repayments of payables to a related party of US$5.0 million. In February 2025, our Board of Directors authorized the $30 million share repurchase program reflecting management’s confidence in our long-term growth prospects and commitment to delivering shareholder value. During the first quarter, we repurchased 2,805,067 shares at an average price of $4.91 per share for a total of $13.8 million. We believe these repurchases represent an attractive use of capital given our strong growth profile and improving operational metrics.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93"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Our capital expenditures are primarily incurred for the purchase of software and equipment and the development of our Private Cloud Platform. Our capital expenditures were US$0.02 million and US$2.7 million, for the three months ended March 31, 2025 and 2026, respectively. We intend to fund our future capital expenditures with our existing cash balance and bank borrowings. We will continue to incur capital expenditures as needed to meet the expected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Commitments and Arrangements</w:t>
      </w:r>
    </w:p>
    <w:p>
      <w:pPr>
        <w:spacing w:after="0" w:line="193" w:lineRule="exact"/>
        <w:rPr>
          <w:sz w:val="20"/>
          <w:szCs w:val="20"/>
          <w:color w:val="auto"/>
        </w:rPr>
      </w:pPr>
    </w:p>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In addition, we have not entered into any derivative contracts that are indexed to its shares and classified as shareholder’s equity or that are not reflected in its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it or engages in leasing, hedging or product development services with 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Tabular Disclosure of Contractual Obligations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our contractual obligations as of March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9"/>
              </w:rPr>
              <w:t>Within one year</w:t>
            </w:r>
          </w:p>
        </w:tc>
        <w:tc>
          <w:tcPr>
            <w:tcW w:w="16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20" w:type="dxa"/>
            <w:vAlign w:val="bottom"/>
          </w:tcPr>
          <w:p>
            <w:pPr>
              <w:spacing w:after="0"/>
              <w:rPr>
                <w:sz w:val="17"/>
                <w:szCs w:val="17"/>
                <w:color w:val="auto"/>
              </w:rPr>
            </w:pPr>
          </w:p>
        </w:tc>
        <w:tc>
          <w:tcPr>
            <w:tcW w:w="88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7"/>
                <w:szCs w:val="17"/>
                <w:color w:val="auto"/>
              </w:rPr>
            </w:pPr>
          </w:p>
        </w:tc>
      </w:tr>
      <w:tr>
        <w:trPr>
          <w:trHeight w:val="188"/>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payment</w:t>
            </w:r>
          </w:p>
        </w:tc>
        <w:tc>
          <w:tcPr>
            <w:tcW w:w="25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2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120" w:type="dxa"/>
            <w:vAlign w:val="bottom"/>
            <w:tcBorders>
              <w:top w:val="single" w:sz="8" w:color="CCEEFF"/>
            </w:tcBorders>
            <w:shd w:val="clear" w:color="auto" w:fill="CCEEFF"/>
          </w:tcPr>
          <w:p>
            <w:pPr>
              <w:spacing w:after="0"/>
              <w:rPr>
                <w:sz w:val="16"/>
                <w:szCs w:val="16"/>
                <w:color w:val="auto"/>
              </w:rPr>
            </w:pPr>
          </w:p>
        </w:tc>
      </w:tr>
      <w:tr>
        <w:trPr>
          <w:trHeight w:val="188"/>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Lease payment of property management fee and short-term lease</w:t>
            </w:r>
          </w:p>
        </w:tc>
        <w:tc>
          <w:tcPr>
            <w:tcW w:w="29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w:t>
            </w:r>
          </w:p>
        </w:tc>
      </w:tr>
      <w:tr>
        <w:trPr>
          <w:trHeight w:val="18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payment</w:t>
            </w:r>
          </w:p>
        </w:tc>
        <w:tc>
          <w:tcPr>
            <w:tcW w:w="2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31,723</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31,723</w:t>
            </w:r>
          </w:p>
        </w:tc>
      </w:tr>
      <w:tr>
        <w:trPr>
          <w:trHeight w:val="188"/>
        </w:trPr>
        <w:tc>
          <w:tcPr>
            <w:tcW w:w="480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2920" w:type="dxa"/>
            <w:vAlign w:val="bottom"/>
            <w:gridSpan w:val="2"/>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82,082</w:t>
            </w: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82,082</w:t>
            </w:r>
          </w:p>
        </w:tc>
      </w:tr>
      <w:tr>
        <w:trPr>
          <w:trHeight w:val="188"/>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2920" w:type="dxa"/>
            <w:vAlign w:val="bottom"/>
            <w:gridSpan w:val="2"/>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1,377</w:t>
            </w:r>
          </w:p>
        </w:tc>
        <w:tc>
          <w:tcPr>
            <w:tcW w:w="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1,413</w:t>
            </w:r>
          </w:p>
        </w:tc>
      </w:tr>
      <w:tr>
        <w:trPr>
          <w:trHeight w:val="566"/>
        </w:trPr>
        <w:tc>
          <w:tcPr>
            <w:tcW w:w="48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1542"/>
              <w:spacing w:after="0"/>
              <w:rPr>
                <w:sz w:val="20"/>
                <w:szCs w:val="20"/>
                <w:color w:val="auto"/>
              </w:rPr>
            </w:pPr>
            <w:r>
              <w:rPr>
                <w:rFonts w:ascii="Times New Roman" w:cs="Times New Roman" w:eastAsia="Times New Roman" w:hAnsi="Times New Roman"/>
                <w:sz w:val="16"/>
                <w:szCs w:val="16"/>
                <w:color w:val="auto"/>
              </w:rPr>
              <w:t>12</w:t>
            </w: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0" w:right="319" w:bottom="1440" w:gutter="0" w:footer="0" w:header="0"/>
        </w:sectPr>
      </w:pPr>
    </w:p>
    <w:bookmarkStart w:id="41" w:name="page42"/>
    <w:bookmarkEnd w:id="41"/>
    <w:p>
      <w:pPr>
        <w:jc w:val="both"/>
        <w:ind w:right="20" w:firstLine="563"/>
        <w:spacing w:after="0" w:line="270" w:lineRule="auto"/>
        <w:rPr>
          <w:sz w:val="20"/>
          <w:szCs w:val="20"/>
          <w:color w:val="auto"/>
        </w:rPr>
      </w:pPr>
      <w:r>
        <w:rPr>
          <w:rFonts w:ascii="Times New Roman" w:cs="Times New Roman" w:eastAsia="Times New Roman" w:hAnsi="Times New Roman"/>
          <w:sz w:val="16"/>
          <w:szCs w:val="16"/>
          <w:color w:val="auto"/>
        </w:rPr>
        <w:t>We recorded rental expenses of US$0.3 million and US$0.3 million for the three months ended March 31, 2025 and 2026, respectively. Other than what is disclosed above, we did not have other significant commitments, long-term obligations, or guarantees as of March 31, 2026.</w:t>
      </w:r>
    </w:p>
    <w:p>
      <w:pPr>
        <w:spacing w:after="0" w:line="149"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We also have certain capital commitments that are primarily related to commitments for the purchase and installation of a cloud platform and an artificial intelligence platform. Total capital commitments contracted but not yet reflected in the unaudited condensed consolidated financial statement was US$31.7 million as of March 31, 2026. All of the capital commitments will be fulfilled according to the investment payment schedule.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w:t>
      </w:r>
    </w:p>
    <w:p>
      <w:pPr>
        <w:spacing w:after="0" w:line="193" w:lineRule="exact"/>
        <w:rPr>
          <w:sz w:val="20"/>
          <w:szCs w:val="20"/>
          <w:color w:val="auto"/>
        </w:rPr>
      </w:pPr>
    </w:p>
    <w:p>
      <w:pPr>
        <w:jc w:val="both"/>
        <w:ind w:firstLine="563"/>
        <w:spacing w:after="0" w:line="249" w:lineRule="auto"/>
        <w:rPr>
          <w:sz w:val="20"/>
          <w:szCs w:val="20"/>
          <w:color w:val="auto"/>
        </w:rPr>
      </w:pPr>
      <w:r>
        <w:rPr>
          <w:rFonts w:ascii="Times New Roman" w:cs="Times New Roman" w:eastAsia="Times New Roman" w:hAnsi="Times New Roman"/>
          <w:sz w:val="16"/>
          <w:szCs w:val="16"/>
          <w:color w:val="auto"/>
        </w:rPr>
        <w:t>Shengda Automobile Service Group Co., Limited and its subsidiaries (“Shengda Group”), owned by Mr. Ye Zaichang, the Chairman of the Board of Directors, was disposed on March 1, 2022, such disposition has been completed as of that date. In addition, we were liable to Shengda Group of RMB281.8 million (US$40.9 million) for the transfer of SUNCAR Online as of December 31, 2022. Additionally, we were liable to Shengda Group of $4.7 million for the ordinary course of operation, which was interest-free, unsecured, and could be settled on demand. In the share purchase agreement dated March 1, 2022, we agreed to repay the debt owed to Shengda Group by full before June 1, 2023. In April 2023, we negotiated with Jiachen Information Technology (Shanghai) Co., Ltd. (“Jiachen”) and consented to have an extension of payment to extend the repayment due date to December 31, 2025, with an annual interest rate of 1% from June 30, 2023 to the completion of the repayment. In January 2025, we negotiated with Shengda Group and consented to have an extension of payment to extend the repayment date to December 31, 2028.</w:t>
      </w:r>
    </w:p>
    <w:p>
      <w:pPr>
        <w:spacing w:after="0" w:line="165" w:lineRule="exact"/>
        <w:rPr>
          <w:sz w:val="20"/>
          <w:szCs w:val="20"/>
          <w:color w:val="auto"/>
        </w:rPr>
      </w:pPr>
    </w:p>
    <w:p>
      <w:pPr>
        <w:jc w:val="both"/>
        <w:ind w:firstLine="603"/>
        <w:spacing w:after="0" w:line="275" w:lineRule="auto"/>
        <w:rPr>
          <w:sz w:val="20"/>
          <w:szCs w:val="20"/>
          <w:color w:val="auto"/>
        </w:rPr>
      </w:pPr>
      <w:r>
        <w:rPr>
          <w:rFonts w:ascii="Times New Roman" w:cs="Times New Roman" w:eastAsia="Times New Roman" w:hAnsi="Times New Roman"/>
          <w:sz w:val="15"/>
          <w:szCs w:val="15"/>
          <w:color w:val="auto"/>
        </w:rPr>
        <w:t>In 2023, we repaid debt owed to Shengda Group in the amount of US$10.0 million. In 2024, we further repaid debt owed to Shengda Group through the transfer of shares of SunCar Online at an aggregate amount of US$6.2 million, and the non-cash gain of US$4.5 million, representing the difference between the repurchase price and the transfer price, was charged to additional paid-in capital. In 2025, we repaid debt owed to Shengda Group in the amount of US$11.4 million by entering into a debt offset agreement with a third party. In January 2025, we negotiated with Shengda Group and agreed to extend the repayment date of the remaining outstanding balance to December 31, 2028.</w:t>
      </w:r>
    </w:p>
    <w:p>
      <w:pPr>
        <w:spacing w:after="0" w:line="148" w:lineRule="exact"/>
        <w:rPr>
          <w:sz w:val="20"/>
          <w:szCs w:val="20"/>
          <w:color w:val="auto"/>
        </w:rPr>
      </w:pPr>
    </w:p>
    <w:p>
      <w:pPr>
        <w:jc w:val="both"/>
        <w:ind w:firstLine="563"/>
        <w:spacing w:after="0" w:line="270" w:lineRule="auto"/>
        <w:rPr>
          <w:sz w:val="20"/>
          <w:szCs w:val="20"/>
          <w:color w:val="auto"/>
        </w:rPr>
      </w:pPr>
      <w:r>
        <w:rPr>
          <w:rFonts w:ascii="Times New Roman" w:cs="Times New Roman" w:eastAsia="Times New Roman" w:hAnsi="Times New Roman"/>
          <w:sz w:val="16"/>
          <w:szCs w:val="16"/>
          <w:color w:val="auto"/>
        </w:rPr>
        <w:t>As of March 31, 2026, the payables due to the transfer of SunCar Online was US$12.7 million, and other payables were US$6.8 million to Shengda Group and US$0.2 million to Mr. Lei Zhunfu for the ordinary course of operation, which were interest free, unsecure and could be settled on demand.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Liquidity and Capital Resources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see “Operating Results-Liquidity and Capital Resources”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Research and Development, Patents and Licenses, etc.</w:t>
      </w:r>
    </w:p>
    <w:p>
      <w:pPr>
        <w:spacing w:after="0" w:line="193" w:lineRule="exact"/>
        <w:rPr>
          <w:sz w:val="20"/>
          <w:szCs w:val="20"/>
          <w:color w:val="auto"/>
        </w:rPr>
      </w:pPr>
    </w:p>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For the three months ended March 31, 2025 and 2026, our research and development expenses were US$0.9 million and US$1.2 million, respectively. Research and development expenses consist primarily of payroll and employee benefits for research and development, employees, rental expenses, utilities, and other related expenses related to designing, developing, and maintaining the technology service platform to support its internal and external customers. We expect spending on research and development to continue to be significant over time as SunCar plans to continue to invest in its technology and innovation to enhance customer experience and provide value for its business partners.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Trend Information</w:t>
      </w:r>
    </w:p>
    <w:p>
      <w:pPr>
        <w:spacing w:after="0" w:line="193"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Other than as disclosed in this Report, SunCar is not aware of any trends, uncertainties, demands, commitments or events as of March 31, 2026 that are reasonably likely to have a material and adverse effect on its net revenues, income, profitability, liquidity or capital resources, or that would cause the disclosed financial information to be not necessarily indicative of future results of operations or financial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 Critical Accounting Estimates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Please see “Operating Results-Critical Accounting Estimates” above.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100" cy="14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0100"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3"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0" w:type="dxa"/>
            <w:vAlign w:val="bottom"/>
          </w:tcPr>
          <w:p>
            <w:pPr>
              <w:spacing w:after="0"/>
              <w:rPr>
                <w:sz w:val="17"/>
                <w:szCs w:val="17"/>
                <w:color w:val="auto"/>
              </w:rPr>
            </w:pPr>
          </w:p>
        </w:tc>
        <w:tc>
          <w:tcPr>
            <w:tcW w:w="7860" w:type="dxa"/>
            <w:vAlign w:val="bottom"/>
            <w:gridSpan w:val="2"/>
          </w:tcPr>
          <w:p>
            <w:pPr>
              <w:ind w:left="3360"/>
              <w:spacing w:after="0"/>
              <w:rPr>
                <w:sz w:val="20"/>
                <w:szCs w:val="20"/>
                <w:color w:val="auto"/>
              </w:rPr>
            </w:pPr>
            <w:r>
              <w:rPr>
                <w:rFonts w:ascii="Times New Roman" w:cs="Times New Roman" w:eastAsia="Times New Roman" w:hAnsi="Times New Roman"/>
                <w:sz w:val="16"/>
                <w:szCs w:val="16"/>
                <w:color w:val="auto"/>
              </w:rPr>
              <w:t>SunCar Technology Group Inc.</w:t>
            </w:r>
          </w:p>
        </w:tc>
      </w:tr>
      <w:tr>
        <w:trPr>
          <w:trHeight w:val="380"/>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Date: May 27, 2026</w:t>
            </w:r>
          </w:p>
        </w:tc>
        <w:tc>
          <w:tcPr>
            <w:tcW w:w="392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Zaichang Ye</w:t>
            </w:r>
          </w:p>
        </w:tc>
      </w:tr>
      <w:tr>
        <w:trPr>
          <w:trHeight w:val="171"/>
        </w:trPr>
        <w:tc>
          <w:tcPr>
            <w:tcW w:w="3400" w:type="dxa"/>
            <w:vAlign w:val="bottom"/>
          </w:tcPr>
          <w:p>
            <w:pPr>
              <w:spacing w:after="0"/>
              <w:rPr>
                <w:sz w:val="14"/>
                <w:szCs w:val="14"/>
                <w:color w:val="auto"/>
              </w:rPr>
            </w:pPr>
          </w:p>
        </w:tc>
        <w:tc>
          <w:tcPr>
            <w:tcW w:w="3920" w:type="dxa"/>
            <w:vAlign w:val="bottom"/>
          </w:tcPr>
          <w:p>
            <w:pPr>
              <w:ind w:left="3360"/>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Zaichang Ye</w:t>
            </w:r>
          </w:p>
        </w:tc>
      </w:tr>
      <w:tr>
        <w:trPr>
          <w:trHeight w:val="188"/>
        </w:trPr>
        <w:tc>
          <w:tcPr>
            <w:tcW w:w="3400" w:type="dxa"/>
            <w:vAlign w:val="bottom"/>
          </w:tcPr>
          <w:p>
            <w:pPr>
              <w:spacing w:after="0"/>
              <w:rPr>
                <w:sz w:val="16"/>
                <w:szCs w:val="16"/>
                <w:color w:val="auto"/>
              </w:rPr>
            </w:pPr>
          </w:p>
        </w:tc>
        <w:tc>
          <w:tcPr>
            <w:tcW w:w="3920" w:type="dxa"/>
            <w:vAlign w:val="bottom"/>
          </w:tcPr>
          <w:p>
            <w:pPr>
              <w:ind w:left="336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203"/>
        </w:trPr>
        <w:tc>
          <w:tcPr>
            <w:tcW w:w="34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67"/>
        </w:trPr>
        <w:tc>
          <w:tcPr>
            <w:tcW w:w="3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6"/>
                <w:szCs w:val="16"/>
                <w:color w:val="auto"/>
              </w:rPr>
              <w:t>14</w:t>
            </w:r>
          </w:p>
        </w:tc>
        <w:tc>
          <w:tcPr>
            <w:tcW w:w="3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60"/>
      </w:cols>
      <w:pgMar w:left="320" w:top="77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decimal"/>
      <w:start w:val="773"/>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3"/>
    </w:lvl>
  </w:abstractNum>
  <w:abstractNum w:abstractNumId="8">
    <w:nsid w:val="257130A3"/>
    <w:multiLevelType w:val="hybridMultilevel"/>
    <w:lvl w:ilvl="0">
      <w:lvlJc w:val="left"/>
      <w:lvlText w:val="%1."/>
      <w:numFmt w:val="decimal"/>
      <w:start w:val="4"/>
    </w:lvl>
  </w:abstractNum>
  <w:abstractNum w:abstractNumId="9">
    <w:nsid w:val="62BBD95A"/>
    <w:multiLevelType w:val="hybridMultilevel"/>
    <w:lvl w:ilvl="0">
      <w:lvlJc w:val="left"/>
      <w:lvlText w:val="%1."/>
      <w:numFmt w:val="decimal"/>
      <w:start w:val="5"/>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7"/>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lowerRoman"/>
      <w:start w:val="1"/>
    </w:lvl>
  </w:abstractNum>
  <w:abstractNum w:abstractNumId="23">
    <w:nsid w:val="54E49EB4"/>
    <w:multiLevelType w:val="hybridMultilevel"/>
    <w:lvl w:ilvl="0">
      <w:lvlJc w:val="left"/>
      <w:lvlText w:val="(%1)"/>
      <w:numFmt w:val="decimal"/>
      <w:start w:val="1"/>
    </w:lvl>
    <w:lvl w:ilvl="1">
      <w:lvlJc w:val="left"/>
      <w:lvlText w:val="%2."/>
      <w:numFmt w:val="decimal"/>
      <w:start w:val="12"/>
    </w:lvl>
  </w:abstractNum>
  <w:abstractNum w:abstractNumId="24">
    <w:nsid w:val="71F32454"/>
    <w:multiLevelType w:val="hybridMultilevel"/>
    <w:lvl w:ilvl="0">
      <w:lvlJc w:val="left"/>
      <w:lvlText w:val="(%1)"/>
      <w:numFmt w:val="lowerRoman"/>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1)"/>
      <w:numFmt w:val="lowerRoman"/>
      <w:start w:val="3"/>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10" Type="http://schemas.openxmlformats.org/officeDocument/2006/relationships/hyperlink" Target="http://www.sec.gov/Archives/edgar/data/1936804/000121390024049058/ea0207154-f3_sunc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2026-05-27T11:13:17Z</dcterms:created>
  <dcterms:modified xsi:type="dcterms:W3CDTF">2026-05-27T11:13:17Z</dcterms:modified>
</cp:coreProperties>
</file>