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700" w:hanging="20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00" w:right="1100" w:hanging="2788"/>
        <w:spacing w:after="0" w:line="500" w:lineRule="auto"/>
        <w:tabs>
          <w:tab w:leader="none" w:pos="1323"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214"/>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4180" w:right="700" w:hanging="3469"/>
        <w:spacing w:after="0" w:line="500" w:lineRule="auto"/>
        <w:tabs>
          <w:tab w:leader="none" w:pos="92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Commission File Number: 001-41706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(Translation of Registrant’s name into English)</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Shanghai Feiyou Trading Co.,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209, No. 656 Lingshi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Jing’an District, Shanghai, 200072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(86) 138-1779-6110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4"/>
        </w:trPr>
        <w:tc>
          <w:tcPr>
            <w:tcW w:w="36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Class A Ordinary Shares, $0.0001 par value</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SDA</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Nasdaq Capital Market</w:t>
            </w: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exercisable for one-half of one</w:t>
            </w:r>
          </w:p>
        </w:tc>
        <w:tc>
          <w:tcPr>
            <w:tcW w:w="38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SDAWW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Nasdaq Capital Market</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A Ordinary Share at an exercise price of</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$11.50 per full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As of December 31, 2025: 59,608,351 Class A Ordinary Shares and 46,039,565 Class B Ordinary Shares.</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769"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0"/>
          <w:szCs w:val="20"/>
          <w:color w:val="auto"/>
        </w:rPr>
      </w:pPr>
    </w:p>
    <w:p>
      <w:pPr>
        <w:sectPr>
          <w:pgSz w:w="11900" w:h="16838" w:orient="portrait"/>
          <w:cols w:equalWidth="0" w:num="4">
            <w:col w:w="2660" w:space="720"/>
            <w:col w:w="1540" w:space="720"/>
            <w:col w:w="2640" w:space="720"/>
            <w:col w:w="2240"/>
          </w:cols>
          <w:pgMar w:left="320" w:top="769" w:right="339" w:bottom="1440" w:gutter="0" w:footer="0" w:header="0"/>
          <w:type w:val="continuous"/>
        </w:sectPr>
      </w:pPr>
    </w:p>
    <w:p>
      <w:pPr>
        <w:spacing w:after="0" w:line="7"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84" w:lineRule="exact"/>
        <w:rPr>
          <w:sz w:val="20"/>
          <w:szCs w:val="20"/>
          <w:color w:val="auto"/>
        </w:rPr>
      </w:pPr>
    </w:p>
    <w:p>
      <w:pPr>
        <w:spacing w:after="0" w:line="207" w:lineRule="exact"/>
        <w:tabs>
          <w:tab w:leader="none" w:pos="2020" w:val="left"/>
          <w:tab w:leader="none" w:pos="10600" w:val="left"/>
        </w:tabs>
        <w:rPr>
          <w:sz w:val="20"/>
          <w:szCs w:val="20"/>
          <w:color w:val="auto"/>
        </w:rPr>
      </w:pPr>
      <w:r>
        <w:rPr>
          <w:rFonts w:ascii="Times New Roman" w:cs="Times New Roman" w:eastAsia="Times New Roman" w:hAnsi="Times New Roman"/>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Auditor’s name</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Firm ID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Enrome LLP</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6907</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198"/>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547"/>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60" w:type="dxa"/>
            <w:vAlign w:val="bottom"/>
            <w:gridSpan w:val="14"/>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SUNCAR TECHNOLOGY GROUP INC.</w:t>
            </w:r>
          </w:p>
        </w:tc>
        <w:tc>
          <w:tcPr>
            <w:tcW w:w="228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9"/>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8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6"/>
        </w:trPr>
        <w:tc>
          <w:tcPr>
            <w:tcW w:w="41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4800" w:type="dxa"/>
            <w:vAlign w:val="bottom"/>
            <w:tcBorders>
              <w:bottom w:val="single" w:sz="8" w:color="CCEEFF"/>
            </w:tcBorders>
            <w:gridSpan w:val="13"/>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ind w:left="17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5"/>
        </w:trPr>
        <w:tc>
          <w:tcPr>
            <w:tcW w:w="89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Defined Terms</w:t>
            </w:r>
          </w:p>
        </w:tc>
        <w:tc>
          <w:tcPr>
            <w:tcW w:w="2280" w:type="dxa"/>
            <w:vAlign w:val="bottom"/>
          </w:tcPr>
          <w:p>
            <w:pPr>
              <w:ind w:left="1760"/>
              <w:spacing w:after="0" w:line="176" w:lineRule="exact"/>
              <w:rPr>
                <w:sz w:val="20"/>
                <w:szCs w:val="20"/>
                <w:color w:val="auto"/>
              </w:rPr>
            </w:pPr>
            <w:r>
              <w:rPr>
                <w:rFonts w:ascii="Times New Roman" w:cs="Times New Roman" w:eastAsia="Times New Roman" w:hAnsi="Times New Roman"/>
                <w:sz w:val="18"/>
                <w:szCs w:val="18"/>
                <w:color w:val="auto"/>
              </w:rPr>
              <w:t>iv</w:t>
            </w:r>
          </w:p>
        </w:tc>
      </w:tr>
      <w:tr>
        <w:trPr>
          <w:trHeight w:val="21"/>
        </w:trPr>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89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228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34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Offer Statistics and Expected Timetable</w:t>
            </w:r>
          </w:p>
        </w:tc>
        <w:tc>
          <w:tcPr>
            <w:tcW w:w="5160" w:type="dxa"/>
            <w:vAlign w:val="bottom"/>
            <w:tcBorders>
              <w:bottom w:val="single" w:sz="8" w:color="CCEEFF"/>
            </w:tcBorders>
            <w:gridSpan w:val="15"/>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175"/>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3. Key Information</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Information on the Company</w:t>
            </w:r>
          </w:p>
        </w:tc>
        <w:tc>
          <w:tcPr>
            <w:tcW w:w="5940" w:type="dxa"/>
            <w:vAlign w:val="bottom"/>
            <w:tcBorders>
              <w:bottom w:val="single" w:sz="8" w:color="CCEEFF"/>
            </w:tcBorders>
            <w:gridSpan w:val="18"/>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6"/>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394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Operating and Financial Review and Prospects</w:t>
            </w:r>
          </w:p>
        </w:tc>
        <w:tc>
          <w:tcPr>
            <w:tcW w:w="4660" w:type="dxa"/>
            <w:vAlign w:val="bottom"/>
            <w:tcBorders>
              <w:bottom w:val="single" w:sz="8" w:color="CCEEFF"/>
            </w:tcBorders>
            <w:gridSpan w:val="11"/>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6"/>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860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 Major Shareholders and Related Party Transactions</w:t>
            </w:r>
          </w:p>
        </w:tc>
        <w:tc>
          <w:tcPr>
            <w:tcW w:w="228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175"/>
        </w:trPr>
        <w:tc>
          <w:tcPr>
            <w:tcW w:w="360" w:type="dxa"/>
            <w:vAlign w:val="bottom"/>
            <w:tcBorders>
              <w:top w:val="single" w:sz="8" w:color="CCEEFF"/>
            </w:tcBorders>
          </w:tcPr>
          <w:p>
            <w:pPr>
              <w:spacing w:after="0"/>
              <w:rPr>
                <w:sz w:val="15"/>
                <w:szCs w:val="15"/>
                <w:color w:val="auto"/>
              </w:rPr>
            </w:pPr>
          </w:p>
        </w:tc>
        <w:tc>
          <w:tcPr>
            <w:tcW w:w="4260" w:type="dxa"/>
            <w:vAlign w:val="bottom"/>
            <w:tcBorders>
              <w:top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4340" w:type="dxa"/>
            <w:vAlign w:val="bottom"/>
            <w:tcBorders>
              <w:top w:val="single" w:sz="8" w:color="CCEEFF"/>
            </w:tcBorders>
            <w:gridSpan w:val="9"/>
          </w:tcPr>
          <w:p>
            <w:pPr>
              <w:spacing w:after="0"/>
              <w:rPr>
                <w:sz w:val="15"/>
                <w:szCs w:val="15"/>
                <w:color w:val="auto"/>
              </w:rPr>
            </w:pPr>
          </w:p>
        </w:tc>
        <w:tc>
          <w:tcPr>
            <w:tcW w:w="2280" w:type="dxa"/>
            <w:vAlign w:val="bottom"/>
            <w:tcBorders>
              <w:top w:val="single" w:sz="8" w:color="CCEEFF"/>
            </w:tcBorders>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9. The Offer and Listing</w:t>
            </w:r>
          </w:p>
        </w:tc>
        <w:tc>
          <w:tcPr>
            <w:tcW w:w="6460" w:type="dxa"/>
            <w:vAlign w:val="bottom"/>
            <w:tcBorders>
              <w:bottom w:val="single" w:sz="8" w:color="CCEEFF"/>
            </w:tcBorders>
            <w:gridSpan w:val="24"/>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176"/>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10. Additional Information</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4960" w:type="dxa"/>
            <w:vAlign w:val="bottom"/>
            <w:tcBorders>
              <w:bottom w:val="single" w:sz="8" w:color="0000EE"/>
            </w:tcBorders>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11. Quantitative and Qualitative Disclosures about Market Risk</w:t>
            </w:r>
          </w:p>
        </w:tc>
        <w:tc>
          <w:tcPr>
            <w:tcW w:w="3640" w:type="dxa"/>
            <w:vAlign w:val="bottom"/>
            <w:tcBorders>
              <w:bottom w:val="single" w:sz="8" w:color="CCEEFF"/>
            </w:tcBorders>
            <w:gridSpan w:val="5"/>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176"/>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5"/>
        </w:trPr>
        <w:tc>
          <w:tcPr>
            <w:tcW w:w="89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228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1"/>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13. Defaults, Dividends Arrearages and Delinquencies</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tcBorders>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14. Material Modifications to the Rights of Security Holders and Use of Proceeds</w:t>
            </w:r>
          </w:p>
        </w:tc>
        <w:tc>
          <w:tcPr>
            <w:tcW w:w="234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176"/>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360" w:type="dxa"/>
            <w:vAlign w:val="bottom"/>
            <w:shd w:val="clear" w:color="auto" w:fill="CCEEFF"/>
          </w:tcPr>
          <w:p>
            <w:pPr>
              <w:spacing w:after="0"/>
              <w:rPr>
                <w:sz w:val="15"/>
                <w:szCs w:val="15"/>
                <w:color w:val="auto"/>
              </w:rPr>
            </w:pPr>
          </w:p>
        </w:tc>
        <w:tc>
          <w:tcPr>
            <w:tcW w:w="860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 [Reserved]</w:t>
            </w:r>
          </w:p>
        </w:tc>
        <w:tc>
          <w:tcPr>
            <w:tcW w:w="228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60" w:type="dxa"/>
            <w:vAlign w:val="bottom"/>
          </w:tcPr>
          <w:p>
            <w:pPr>
              <w:spacing w:after="0"/>
              <w:rPr>
                <w:sz w:val="15"/>
                <w:szCs w:val="15"/>
                <w:color w:val="auto"/>
              </w:rPr>
            </w:pPr>
          </w:p>
        </w:tc>
        <w:tc>
          <w:tcPr>
            <w:tcW w:w="860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5"/>
        </w:trPr>
        <w:tc>
          <w:tcPr>
            <w:tcW w:w="360" w:type="dxa"/>
            <w:vAlign w:val="bottom"/>
            <w:shd w:val="clear" w:color="auto" w:fill="CCEEFF"/>
          </w:tcPr>
          <w:p>
            <w:pPr>
              <w:spacing w:after="0"/>
              <w:rPr>
                <w:sz w:val="15"/>
                <w:szCs w:val="15"/>
                <w:color w:val="auto"/>
              </w:rPr>
            </w:pPr>
          </w:p>
        </w:tc>
        <w:tc>
          <w:tcPr>
            <w:tcW w:w="860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16B. Code of Ethics</w:t>
            </w:r>
          </w:p>
        </w:tc>
        <w:tc>
          <w:tcPr>
            <w:tcW w:w="228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60" w:type="dxa"/>
            <w:vAlign w:val="bottom"/>
          </w:tcPr>
          <w:p>
            <w:pPr>
              <w:spacing w:after="0"/>
              <w:rPr>
                <w:sz w:val="15"/>
                <w:szCs w:val="15"/>
                <w:color w:val="auto"/>
              </w:rPr>
            </w:pPr>
          </w:p>
        </w:tc>
        <w:tc>
          <w:tcPr>
            <w:tcW w:w="860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5240" w:type="dxa"/>
            <w:vAlign w:val="bottom"/>
            <w:tcBorders>
              <w:bottom w:val="single" w:sz="8" w:color="0000EE"/>
            </w:tcBorders>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16D. Exemptions from the Listing Standards for Audit Committees</w:t>
            </w:r>
          </w:p>
        </w:tc>
        <w:tc>
          <w:tcPr>
            <w:tcW w:w="3360" w:type="dxa"/>
            <w:vAlign w:val="bottom"/>
            <w:tcBorders>
              <w:bottom w:val="single" w:sz="8" w:color="CCEEFF"/>
            </w:tcBorders>
            <w:gridSpan w:val="4"/>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176"/>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410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16F. Change inf Registrant’s Certifying Accountant</w:t>
            </w:r>
          </w:p>
        </w:tc>
        <w:tc>
          <w:tcPr>
            <w:tcW w:w="4500" w:type="dxa"/>
            <w:vAlign w:val="bottom"/>
            <w:tcBorders>
              <w:bottom w:val="single" w:sz="8" w:color="CCEEFF"/>
            </w:tcBorders>
            <w:gridSpan w:val="10"/>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175"/>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360" w:type="dxa"/>
            <w:vAlign w:val="bottom"/>
            <w:shd w:val="clear" w:color="auto" w:fill="CCEEFF"/>
          </w:tcPr>
          <w:p>
            <w:pPr>
              <w:spacing w:after="0"/>
              <w:rPr>
                <w:sz w:val="15"/>
                <w:szCs w:val="15"/>
                <w:color w:val="auto"/>
              </w:rPr>
            </w:pPr>
          </w:p>
        </w:tc>
        <w:tc>
          <w:tcPr>
            <w:tcW w:w="860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228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60" w:type="dxa"/>
            <w:vAlign w:val="bottom"/>
          </w:tcPr>
          <w:p>
            <w:pPr>
              <w:spacing w:after="0"/>
              <w:rPr>
                <w:sz w:val="15"/>
                <w:szCs w:val="15"/>
                <w:color w:val="auto"/>
              </w:rPr>
            </w:pPr>
          </w:p>
        </w:tc>
        <w:tc>
          <w:tcPr>
            <w:tcW w:w="860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860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16J. Insider Trading Policies</w:t>
            </w:r>
          </w:p>
        </w:tc>
        <w:tc>
          <w:tcPr>
            <w:tcW w:w="228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175"/>
        </w:trPr>
        <w:tc>
          <w:tcPr>
            <w:tcW w:w="360" w:type="dxa"/>
            <w:vAlign w:val="bottom"/>
            <w:tcBorders>
              <w:top w:val="single" w:sz="8" w:color="CCEEFF"/>
            </w:tcBorders>
          </w:tcPr>
          <w:p>
            <w:pPr>
              <w:spacing w:after="0"/>
              <w:rPr>
                <w:sz w:val="15"/>
                <w:szCs w:val="15"/>
                <w:color w:val="auto"/>
              </w:rPr>
            </w:pPr>
          </w:p>
        </w:tc>
        <w:tc>
          <w:tcPr>
            <w:tcW w:w="244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16K. Cybersecurity</w:t>
            </w:r>
          </w:p>
        </w:tc>
        <w:tc>
          <w:tcPr>
            <w:tcW w:w="6160" w:type="dxa"/>
            <w:vAlign w:val="bottom"/>
            <w:tcBorders>
              <w:top w:val="single" w:sz="8" w:color="CCEEFF"/>
            </w:tcBorders>
            <w:gridSpan w:val="20"/>
          </w:tcPr>
          <w:p>
            <w:pPr>
              <w:spacing w:after="0"/>
              <w:rPr>
                <w:sz w:val="15"/>
                <w:szCs w:val="15"/>
                <w:color w:val="auto"/>
              </w:rPr>
            </w:pPr>
          </w:p>
        </w:tc>
        <w:tc>
          <w:tcPr>
            <w:tcW w:w="2280" w:type="dxa"/>
            <w:vAlign w:val="bottom"/>
            <w:tcBorders>
              <w:top w:val="single" w:sz="8" w:color="CCEEFF"/>
            </w:tcBorders>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5"/>
        </w:trPr>
        <w:tc>
          <w:tcPr>
            <w:tcW w:w="89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228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17. Financial Statements</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18. Financial Statements</w:t>
            </w:r>
          </w:p>
        </w:tc>
        <w:tc>
          <w:tcPr>
            <w:tcW w:w="6440" w:type="dxa"/>
            <w:vAlign w:val="bottom"/>
            <w:tcBorders>
              <w:bottom w:val="single" w:sz="8" w:color="CCEEFF"/>
            </w:tcBorders>
            <w:gridSpan w:val="23"/>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175"/>
        </w:trPr>
        <w:tc>
          <w:tcPr>
            <w:tcW w:w="8960" w:type="dxa"/>
            <w:vAlign w:val="bottom"/>
            <w:gridSpan w:val="36"/>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19. Exhibits</w:t>
            </w:r>
          </w:p>
        </w:tc>
        <w:tc>
          <w:tcPr>
            <w:tcW w:w="228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5"/>
        </w:trPr>
        <w:tc>
          <w:tcPr>
            <w:tcW w:w="89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28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21"/>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20-F (including information incorporated by reference herein, the “Report”) contains or may contain forward-looking statements as defined in Section 27A of the Securities Act of 1933, as amended (the “Securities Act”), and Section 21E of the Securities Exchange Act of 1934, as amended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w:t>
      </w:r>
    </w:p>
    <w:p>
      <w:pPr>
        <w:spacing w:after="0" w:line="189"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plans to expand its customers base given market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work to provide digitalized, online services for electric vehicles, and the popular adoption of electric vehicles;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cooperation with multiple insurance companies, and design and distribution of new insurance products, including exclusive insurance products for electric vehicles drivers;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increasing monetization of the technology services it provides for small business partners;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future financial performance, including any expansion plans and opportunities;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 in retaining or recruiting, or changes required in, its officers, key employees or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strategy, future operations, financial position, estimated revenue and losses, projected costs, prospects and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the Company’s business model;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surrounding the growth of its digital platform as a part of its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surrounding the insurance it will maintain going forward;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utilize the “controlled company” exemption under the rules of Nasdaq;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the listing of its Class A Ordinary Shares or Warrants on Nasdaq.</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87"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grow and manage growth profitably, maintain relationships with customers, compete within its industry and retain its key employees;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exchange and interest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highly dependent on the services of its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difficulties in managing its growth and expanding its operations;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Company or others in connection with the Business Combination and the related transactions;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face risks and uncertainties associated with laws and regulations within the People’s Republic of China, which may have a material adverse effect on its business;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auto eInsurance (digitalized insurance intermediation) business and auto services (automobile after-sales services) business largely depends on relationships with customers;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relies on our auto service providers and external referral sources to operate its business, therefore relationships with its service providers are crucial to its business;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of the external referral sources the Company engaged to promote our auto eInsurance services is difficult to detect and deter and could harm our reputation or lead to regulatory sanctions or litigation costs;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customer concentration risk;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credit risks from its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negative net operating cash flows in the past may expose it to certain liquidity risks and could constrain operational flexibility;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business’s cyclical nature, including periods with excess underwriting capacity and unfavorable premium rates;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services on the Company’s apps, websites or computer systems; and any significant disruption in services on the Company’s apps, websites or computer systems.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risk factors and cautionary language referred to or incorporated by reference in this Report provide examples of risks, uncertainties and events that may cause actual results to differ materially from the expectations described in our forward-looking statements, including among other things, the items identified in the section entitled “Risk Factors” of this Report.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Report, unless otherwise stated, references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“ASGL” are to Auto Services Group Limited, a Cayman Islands exempted company;</w:t>
      </w:r>
    </w:p>
    <w:p>
      <w:pPr>
        <w:spacing w:after="0" w:line="225" w:lineRule="exact"/>
        <w:rPr>
          <w:sz w:val="20"/>
          <w:szCs w:val="20"/>
          <w:color w:val="auto"/>
        </w:rPr>
      </w:pPr>
    </w:p>
    <w:p>
      <w:pPr>
        <w:ind w:right="3920"/>
        <w:spacing w:after="0" w:line="500" w:lineRule="auto"/>
        <w:rPr>
          <w:sz w:val="20"/>
          <w:szCs w:val="20"/>
          <w:color w:val="auto"/>
        </w:rPr>
      </w:pPr>
      <w:r>
        <w:rPr>
          <w:rFonts w:ascii="Times New Roman" w:cs="Times New Roman" w:eastAsia="Times New Roman" w:hAnsi="Times New Roman"/>
          <w:sz w:val="18"/>
          <w:szCs w:val="18"/>
          <w:color w:val="auto"/>
        </w:rPr>
        <w:t>“Business Combination” or “Mergers” are to the mergers contemplated under the Merger Agreement; “China” or “PRC” are to the People’s Republic of China;</w:t>
      </w:r>
    </w:p>
    <w:p>
      <w:pPr>
        <w:spacing w:after="0" w:line="2" w:lineRule="exact"/>
        <w:rPr>
          <w:sz w:val="20"/>
          <w:szCs w:val="20"/>
          <w:color w:val="auto"/>
        </w:rPr>
      </w:pPr>
    </w:p>
    <w:p>
      <w:pPr>
        <w:ind w:right="820"/>
        <w:spacing w:after="0" w:line="500" w:lineRule="auto"/>
        <w:rPr>
          <w:sz w:val="20"/>
          <w:szCs w:val="20"/>
          <w:color w:val="auto"/>
        </w:rPr>
      </w:pPr>
      <w:r>
        <w:rPr>
          <w:rFonts w:ascii="Times New Roman" w:cs="Times New Roman" w:eastAsia="Times New Roman" w:hAnsi="Times New Roman"/>
          <w:sz w:val="18"/>
          <w:szCs w:val="18"/>
          <w:color w:val="auto"/>
        </w:rPr>
        <w:t>“Class A Ordinary Shares” are to the Class A ordinary shares of the Company, each having a nominal value in U.S. dollars of $0.0001 per share; “Class B Ordinary Shares” are to the Class B ordinary shares of the Company, each having a nominal value in U.S. dollars of $0.0001 per share; “Company”, “SunCar”, “we,” “our” or “us” are to SunCar Technology Group Inc., a Cayman Islands exempted company; “Exchange Act” are to the Securities Exchange Act of 1934, as amended;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“Goldenbridge” are to Goldenbridge Acquisition Limited, a British Virgin Islands exempted company;</w:t>
      </w:r>
    </w:p>
    <w:p>
      <w:pPr>
        <w:spacing w:after="0" w:line="225" w:lineRule="exact"/>
        <w:rPr>
          <w:sz w:val="20"/>
          <w:szCs w:val="20"/>
          <w:color w:val="auto"/>
        </w:rPr>
      </w:pPr>
    </w:p>
    <w:p>
      <w:pPr>
        <w:ind w:right="2720"/>
        <w:spacing w:after="0" w:line="500" w:lineRule="auto"/>
        <w:rPr>
          <w:sz w:val="20"/>
          <w:szCs w:val="20"/>
          <w:color w:val="auto"/>
        </w:rPr>
      </w:pPr>
      <w:r>
        <w:rPr>
          <w:rFonts w:ascii="Times New Roman" w:cs="Times New Roman" w:eastAsia="Times New Roman" w:hAnsi="Times New Roman"/>
          <w:sz w:val="18"/>
          <w:szCs w:val="18"/>
          <w:color w:val="auto"/>
        </w:rPr>
        <w:t>“Merger Agreement” are to the agreement and plan of merger among SunCar, Goldenbridge, and certain other parties; “Nasdaq” are to the Nasdaq Capital Market;</w:t>
      </w:r>
    </w:p>
    <w:p>
      <w:pPr>
        <w:spacing w:after="0" w:line="2" w:lineRule="exact"/>
        <w:rPr>
          <w:sz w:val="20"/>
          <w:szCs w:val="20"/>
          <w:color w:val="auto"/>
        </w:rPr>
      </w:pPr>
    </w:p>
    <w:p>
      <w:pPr>
        <w:ind w:right="4240"/>
        <w:spacing w:after="0" w:line="500" w:lineRule="auto"/>
        <w:rPr>
          <w:sz w:val="20"/>
          <w:szCs w:val="20"/>
          <w:color w:val="auto"/>
        </w:rPr>
      </w:pPr>
      <w:r>
        <w:rPr>
          <w:rFonts w:ascii="Times New Roman" w:cs="Times New Roman" w:eastAsia="Times New Roman" w:hAnsi="Times New Roman"/>
          <w:sz w:val="18"/>
          <w:szCs w:val="18"/>
          <w:color w:val="auto"/>
        </w:rPr>
        <w:t>“Ordinary Shares” are to the Class A Ordinary Shares together with the Class B Ordinary Shares; “PRC Operating Entities” are to the PRC subsidiaries listed on Exhibit 8.1 of this report.</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“Private Warrants” are to warrants to purchase our Class A Ordinary Shares, with each Private Warrant exercisable to purchase one-half (1/2) of one Class A Ordinary Share at a price of $11.50 per share, originally issued in a private placement by GBRG in connection with the initial public offering of GBRG.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“Public Warrants” are to warrants to purchase our Class A Ordinary Shares, with each Public Warrant exercisable to purchase one-half (1/2) of one Class A Ordinary Share at a price of $11.50 per share, originally issued in the initial public offering of GBRG.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 or “Renminbi” are to the legal currency of the PRC;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are to the U.S.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 or “US$” are to the legal currency of the United States;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GAAP” or “GAAP” are to accounting principles generally accepted in the United States.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Item 6.A below, the business address for each of the Company’s directors and members of Executive Management is Suite 209, No. 656 Lingshi Road, Jing’an District, Shanghai, 200072, People’s Republic of China. The following table identifies our current executive officers and directors as of the date of this report, their respective offices and positions, and their respective dates of election or appointment: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Age (1)</w:t>
            </w:r>
          </w:p>
        </w:tc>
        <w:tc>
          <w:tcPr>
            <w:tcW w:w="120" w:type="dxa"/>
            <w:vAlign w:val="bottom"/>
          </w:tcPr>
          <w:p>
            <w:pPr>
              <w:spacing w:after="0"/>
              <w:rPr>
                <w:sz w:val="21"/>
                <w:szCs w:val="21"/>
                <w:color w:val="auto"/>
              </w:rPr>
            </w:pPr>
          </w:p>
        </w:tc>
        <w:tc>
          <w:tcPr>
            <w:tcW w:w="470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Election or Appointment</w:t>
            </w:r>
          </w:p>
        </w:tc>
      </w:tr>
      <w:tr>
        <w:trPr>
          <w:trHeight w:val="21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Zaichang Ye</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Director and Chief Executive Officer</w:t>
            </w:r>
          </w:p>
        </w:tc>
        <w:tc>
          <w:tcPr>
            <w:tcW w:w="1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2023</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Bohong Du</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and Chief Financial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2023</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Zhunfu Lei</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4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Technology Officer and Chief Operating Officer</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2023</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Breaux Walker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Strategy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13, 2025</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Saiye Gu</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Vice President</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2023</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Yizhi Qian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Vice President</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2023</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Haidong Zhang (2)(3)(4)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2023</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 Bao (2)(3)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2023</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Yongsheng Liu (2)</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2023</w:t>
            </w: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report.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 of Our Current Directors and Executive Officers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Zaichang Ye </w:t>
      </w:r>
      <w:r>
        <w:rPr>
          <w:rFonts w:ascii="Times New Roman" w:cs="Times New Roman" w:eastAsia="Times New Roman" w:hAnsi="Times New Roman"/>
          <w:sz w:val="18"/>
          <w:szCs w:val="18"/>
          <w:color w:val="auto"/>
        </w:rPr>
        <w:t>serves as Chairman, Director and Chief Executive Officer of SunCar. He is primarily responsible for formulating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planning, business development and supervising the overall operations of SunCar. He established Shengda Limited, a predecessor of SunCar, on December 5, 2007 and served as an executive Director and legal representative until May 2012 and served as general manager from April 2010 to May 2012. Mr. Ye has 20 years of experience in corporate and business management and over 10 years of experience in investment management. Prior to founding SunCar, he served as the legal representative and an executive director of Shanghai Jiamei Shenghai Culture Communication Co., Ltd. from December 2003 to April 2016. Mr. Ye has been a director of Shanghai Evening News Media Co., Ltd. since August 2004. He has been a supervisor of Shanghai Shouheng Commercial Consulting Co., Ltd. since August 2005. He has been the legal representative and an executive director of Haiyan Trading since November 2012. He became the chief strategy officer of Shengda Group in March 2014. He has been the legal representative and executive director of Jiachen Information Technology (Shanghai) Co., Ltd. since March 2007. Mr. Ye obtained a bachelor’s degree in engineering from the department of mechanical engineering of Shanghai Jiao Tong University in China in July 1991. He also obtained a master’s degree in business administration from Cheung Kong Graduate School of Business in China in September 2007.</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Bohong Du </w:t>
      </w:r>
      <w:r>
        <w:rPr>
          <w:rFonts w:ascii="Times New Roman" w:cs="Times New Roman" w:eastAsia="Times New Roman" w:hAnsi="Times New Roman"/>
          <w:sz w:val="18"/>
          <w:szCs w:val="18"/>
          <w:color w:val="auto"/>
        </w:rPr>
        <w:t>serves as Director and Chief Financial Officer of SunCar. He is primarily responsible for formulating corporate strategy,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planning, business development and supervising the overall operations of SunCar. He joined SunCar in March 2008 as a supervisor of Jiangsu Shengda. He has been a supervisor of Shengshi Dalian Automobile and Chengdu Shengda since June 2013 and December 2010, respectively. Mr. Du has 20 years of experience in corporate and business management. Prior to joining SunCar, Mr. Du served as a manager of Shanghai Fosun High Technology (Group) Co., Ltd. from March 1998 to September 2002. Mr. Du served as a manager of Shanghai Fosun Information Industry Co., Ltd from October 2002 to January 2003. He was a vice president at Jiamei Communication Holdings Limited from April 2003 to November 2013. Mr. Du has been a vice president of SunCar since December 2013. Mr. Du obtained a college degree in financial accounting from Shanghai University in China in July 1997. Mr. Du obtained a bachelor’s degree in business administration from the School of Continuing Education of Shandong University in China in January 2013. He also obtained a master’s degree in business administration for senior executives from Xiamen University in China in June 2016.</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Zhunfu Lei </w:t>
      </w:r>
      <w:r>
        <w:rPr>
          <w:rFonts w:ascii="Times New Roman" w:cs="Times New Roman" w:eastAsia="Times New Roman" w:hAnsi="Times New Roman"/>
          <w:sz w:val="18"/>
          <w:szCs w:val="18"/>
          <w:color w:val="auto"/>
        </w:rPr>
        <w:t>serves as Chief Technology Officer and Chief Operating Officer of SunCar. He joined SunCar as the legal representative and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Director of Shengda Limited in May 2012. He was approved to serve as general manager of Shengda Limited on September 21, 2012 by the Shanghai bureau of the CIRC. He is primarily responsible for formulating corporate strategy, planning, business development and supervising the overall operations of our Group. He has been the legal representative, a director and a general manager of Jiangsu Shengda Automobile Service Co., Ltd., a wholly-owned subsidiary of SunCar, since July 2012. He has been the legal representative, an executive director and a manager of Beijing Beisheng since January 2010. He also served as the legal representative, director and manager of Shengshi Dalian Automobile from June 2013 to April 2016. Mr. Lei has 20 years of experience in corporate and business management. Prior to joining SunCar, Mr. Lei served as a director of Shanghai Jiamei Information Advertisement Co., Ltd. from November 2001 to April 2007. Mr. Lei served as chief officer of Lianming Advertising from May 2007 to February 2008. He was also a chief officer of Shengda Group from February 2008 to September 2012. From December 2015 to December 2017, he also served as the legal representative of Shengshi Dalian Financial Leasing. Mr. Lei obtained a bachelor’s degree in computer software from Zhejiang University in China in June 1999.</w:t>
      </w:r>
    </w:p>
    <w:p>
      <w:pPr>
        <w:spacing w:after="0" w:line="18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Breaux Walker </w:t>
      </w:r>
      <w:r>
        <w:rPr>
          <w:rFonts w:ascii="Times New Roman" w:cs="Times New Roman" w:eastAsia="Times New Roman" w:hAnsi="Times New Roman"/>
          <w:sz w:val="17"/>
          <w:szCs w:val="17"/>
          <w:color w:val="auto"/>
        </w:rPr>
        <w:t>serves as Chief Strategy Officer of the Company since January 13, 2025. Mr. Walker has over 25 years of experience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development, corporate finance, and cross-border transactions, particularly in the technology and fintech sectors. Mr. Walker joined SunCar in March 2024 as consulting GM, North America. Prior to joining SunCar, he served as a Partner at HRJ International, where he advised emerging technology companies on financings, M&amp;A, and growth strategies. Previously, he held Managing Director positions at Weild &amp; Co. and JMP Securities, where he led cross-border transactions and public equity offerings for technology companies. Earlier in his career, Mr. Walker demonstrated entrepreneurial success in China, founding and scaling a technology services company to $25 million in revenue. He has also held senior positions at notable firms including Kochava, where he was an SVP, of Business Development, and Union Mobile Pay Ltd., where he led North American operations for one of China’s leading fintech platforms. He is fluent in Mandarin Chinese and proficient in Spanish. Mr. Walker holds a degree from Wesleyan University in Middletown, CT.</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Saiye Gu </w:t>
      </w:r>
      <w:r>
        <w:rPr>
          <w:rFonts w:ascii="Times New Roman" w:cs="Times New Roman" w:eastAsia="Times New Roman" w:hAnsi="Times New Roman"/>
          <w:sz w:val="18"/>
          <w:szCs w:val="18"/>
          <w:color w:val="auto"/>
        </w:rPr>
        <w:t>serves as a Vice President of SunCar. She joined SunCar as a Director on March 23, 2014. She is primarily responsible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overall operations of our Group’s auto eInsurance division. She was the legal representative, a director and a manager of Shengshi Dalian Automobile from April 2016 to December 2016. She has been the legal representative and a director of Shanghai Xuanbei Automobile Service Co., Ltd. since April 2018. Ms. Gu has nearly 20 years of experience in corporate and business management. Prior to joining our Group, Ms. Gu served as a secretary of the general manager at China Electronics Import and Export Ningbo Branch from July 1993 to September 1995. She served as a responsible editor of Shanghai Wanshitong Economic Information Service Co., Ltd. from January 1996 to September 2002. She served as an assistant to the general manager for Shanghai Jiamei Information Advertisement Co. from January 2004 to December 2006. Ms. Gu was a vice president of Lianming Advertising from January 2007 to February 2008. She served as a vice president of Shengda Group from February 2008 to March 2014. Ms. Gu obtained a college degree in humanities from the University of Electronic Science and Technology of China in July 1993. Ms. Gu obtained a master’s degree in business administration from Fudan University in China in December 2012.</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Yizhi Qian </w:t>
      </w:r>
      <w:r>
        <w:rPr>
          <w:rFonts w:ascii="Times New Roman" w:cs="Times New Roman" w:eastAsia="Times New Roman" w:hAnsi="Times New Roman"/>
          <w:sz w:val="18"/>
          <w:szCs w:val="18"/>
          <w:color w:val="auto"/>
        </w:rPr>
        <w:t>serves as a Vice President of SunCar. He was appointed as SunCar’s shareholders representative supervisor on September 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2015. Mr. Qian joined SunCar as a vice president of Shengshi Dalian Automobile in May 2015 and was responsible for the business development and service network coverage. He has been the legal representative, an executive director and manager of Shengshi Dalian Automobile since December 2016. Prior to joining SunCar, Mr. Qian was the account manager of the Shanghai advertising department of the Global Times from February 2001 to March 2002. He was a business director of Shanghai Jiamei Information Advertisement Co. from February 2005 to January 2014 and a business director of Shanghai Zhongrun Jiefang Media Co., Ltd. from February 2014 to May 2015, respectively. Mr. Qian completed his education specialized in investment economic management from Tongling College of Finance and Economics (currently known as Tongling University) in China in July 2000.</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Haidong Zhang </w:t>
      </w:r>
      <w:r>
        <w:rPr>
          <w:rFonts w:ascii="Times New Roman" w:cs="Times New Roman" w:eastAsia="Times New Roman" w:hAnsi="Times New Roman"/>
          <w:sz w:val="18"/>
          <w:szCs w:val="18"/>
          <w:color w:val="auto"/>
        </w:rPr>
        <w:t>serves as an independent director of SunCar. He is an experienced entrepreneur in the field of artificial intelligence. He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and chairman of First Pacific Technology Group, a technology company in Shanghai focusing on development of and investment in artificial intelligence related technologies. Before founding First Pacific in September 2006, Mr. Zhang served as manager of North China Region at Oracle, Inc. from May 2004 to September 2006. Mr. Zhang received his bachelor’s degree in computer science from Harvard University in 2002 and then went on for graduate school studies, also in Computer Science and Engineering, at the Massachusetts Institute of Technology.</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Lin Bao </w:t>
      </w:r>
      <w:r>
        <w:rPr>
          <w:rFonts w:ascii="Times New Roman" w:cs="Times New Roman" w:eastAsia="Times New Roman" w:hAnsi="Times New Roman"/>
          <w:sz w:val="18"/>
          <w:szCs w:val="18"/>
          <w:color w:val="auto"/>
        </w:rPr>
        <w:t>serves as an independent director of SunCar. Ms. Lin is an experienced accounting professional. She holds CPA or equivalent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qualifications in the U.S., Ontario, Canada, and Hong Kong. Since October 2022, she has served as the Chief Financial Officer of Jayud Global Logistics Limited. She served as the Chief Financial Officer of Shanghai Eagsen Intelligent Co., Ltd in Shanghai from November 2019 to March 2020, and from April 2020 to September 2022, she served as the Chief Financial Officer of Eagsen, Inc., where she was responsible for bringing Eagsen public on Nasdaq. Previously, she was Chief Financial Officer at Jufeel International Group in Shanghai from 2018 to 2019, and Chief Financial Officer at Balintimes Online Media Ltd. in Shanghai from 2014 to 2015. She was responsible for the initial public offering of both Jufeel and Balintimes. Earlier, she served similar roles at other public companies in Shanghai and in Toronto, Canada. She also worked at Ernst &amp; Young LLP, where she was senior auditor from 2005 to 2008. Ms. Bao received her bachelor’s degree in economics from Concordia University in Canada.</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Yongsheng Liu </w:t>
      </w:r>
      <w:r>
        <w:rPr>
          <w:rFonts w:ascii="Times New Roman" w:cs="Times New Roman" w:eastAsia="Times New Roman" w:hAnsi="Times New Roman"/>
          <w:sz w:val="18"/>
          <w:szCs w:val="18"/>
          <w:color w:val="auto"/>
        </w:rPr>
        <w:t>serves as an independent director of SunCar. Throughout the past 20 years, Mr. Liu has assumed various corporate leadership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and demonstrated his strong execution ability and in-depth knowledge in private equity and corporate mergers &amp; acquisitions transactions across a wide range of sectors including aviation, consumer, financial institutions, and technology. Mr. Liu has served as the chief executive officer and chairman of our board of directors of Goldenbridge since August 2020. He had served as Chief Operating Officer of Goldenstone Acquisition Limited, a special purpose acquisition company (“Goldenstone”) since April 2021. Mr. Liu served as the Chairman and Chief Executive Officer of Wealthbridge Acquisition Limited, a special purpose acquisition company, from June 2018 until its business combination with Scienjoy Inc. in May 2020 and had served as the Vice Chairman of Scienjoy’s Board of Directors since then. From March 2017 to April 2018, Mr. Liu served as the Chairman of the Board of Directors and Chief Executive Officer of Royal China Holdings Limited (HKEx: 01683), during which he spearheaded the company’s international growth strategy focused at acquiring targets in the aviation industry and financial sector. From the beginning of 2013 to March 2017, Mr. Liu was the Chairman of Joy Air General Aviation, Chairman of Cambodia Bayon Airlines, Vice Chairman of Everbright and Joy International Leasing Company, and President of General Aviation Investment Company (Shanghai). From April 2004 to August 2008, Mr. Liu also served as Chief Strategy Officer of United Eagle Airlines (subsequently renamed Chengdu Airlines). From December 1994 to June 2000, Mr. Liu was a manager of China Southern Airlines responsible for ground staff training. Mr. Liu received his master’s degree from the University of Ottawa in 2002 and his bachelor’s degree from Civil Aviation University of China in 1992.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Mr. Zhunfu Lei is the brother of the wife of Mr. Ye Zaichang. Other than that, there are no family relationships among our officers and directors and those of our subsidiaries and affiliated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does not have a formal policy with respect to diversity. In considering candidates for the Board of Directors, the Board of Directors and the Nominating and Corporate Governance Committee consider the entirety of each candidate’s credentials.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 Auditors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Friedman LLP acted as independent auditor of Goldenbridge Acquisition Limited’s (“GBRG”) for the period from March 2, 2021 (inception) to October 7, 2022. Marcum LLP acted as GBRG’s independent auditor for the period from October 7, 2022 for the year ending June 30,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7, 2023, the Company decided to dismiss Marcum Asia CPAs LLP. On June 8, 2023, Enrome LLP was appointed as the Company’s independent registered public accounting firm to audit the Company’s consolidated financial statements as of and for the fiscal years ended December 31, 2020, 2021 and 2022. The audited financial statements as of the years ended December 31, 2024 and 2025 and for the years ended December 2023, 2024 and 2025 contained in this Report have been audited by Enrome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Selected Financial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SunCar’s summary consolidated statements of operations data for the years ended December 31, 2023,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USD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80" w:type="dxa"/>
            <w:vAlign w:val="bottom"/>
            <w:vMerge w:val="continue"/>
          </w:tcPr>
          <w:p>
            <w:pPr>
              <w:spacing w:after="0"/>
              <w:rPr>
                <w:sz w:val="16"/>
                <w:szCs w:val="16"/>
                <w:color w:val="auto"/>
              </w:rPr>
            </w:pPr>
          </w:p>
        </w:tc>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eInsurance service</w:t>
            </w:r>
          </w:p>
        </w:tc>
        <w:tc>
          <w:tcPr>
            <w:tcW w:w="3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118,109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170,549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212,568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30,658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44,892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53,619</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service</w:t>
            </w:r>
          </w:p>
        </w:tc>
        <w:tc>
          <w:tcPr>
            <w:tcW w:w="3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214,979</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226,456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223,104</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30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363,746</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441,897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489,291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 and expenses</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(209,553)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(226,172)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expenses</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(112,504)</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(164,262)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(197,045)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(20,578)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(22,462)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(46,995)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(14,111)</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(40,244)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30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(379,208</w:t>
            </w:r>
          </w:p>
        </w:tc>
        <w:tc>
          <w:tcPr>
            <w:tcW w:w="240" w:type="dxa"/>
            <w:vAlign w:val="bottom"/>
            <w:tcBorders>
              <w:top w:val="single" w:sz="8" w:color="CCEEFF"/>
              <w:bottom w:val="single" w:sz="8" w:color="CCEEFF"/>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(500,260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(485,406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(15,462)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(58,363)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3,885</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(4,435)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of fair value of warrant liabilities</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5,001</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income/(expenses), net</w:t>
            </w:r>
          </w:p>
        </w:tc>
        <w:tc>
          <w:tcPr>
            <w:tcW w:w="3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(15,007)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(2,572)</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(2,853)</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(17,579)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4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The following table presents SunCar’s summary consolidated balance sheet data as of December 31, 2024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USD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246,728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253,196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180,494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11,892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54,342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58,132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66,234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90,682</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SunCar’s summary consolidated cash flow data for the years ended December 31, 2023, 2024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USD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(27,651)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11,841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(12,147)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40,434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4,368</w:t>
            </w:r>
          </w:p>
        </w:tc>
      </w:tr>
    </w:tbl>
    <w:p>
      <w:pPr>
        <w:spacing w:after="0" w:line="194"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B. Capitalization and Indebtedness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sets forth the capitalization of the Company as of December 31, 2025.</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Long-term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15" w:hanging="615"/>
        <w:spacing w:after="0"/>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25,019</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80,394</w:t>
      </w:r>
    </w:p>
    <w:p>
      <w:pPr>
        <w:spacing w:after="0" w:line="9"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1,429</w:t>
      </w:r>
    </w:p>
    <w:p>
      <w:pPr>
        <w:spacing w:after="0" w:line="9"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19,175</w:t>
      </w:r>
    </w:p>
    <w:p>
      <w:pPr>
        <w:spacing w:after="0" w:line="9"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32,550</w:t>
      </w:r>
    </w:p>
    <w:p>
      <w:pPr>
        <w:spacing w:after="0" w:line="9"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58,132</w:t>
      </w:r>
    </w:p>
    <w:p>
      <w:pPr>
        <w:spacing w:after="0" w:line="58" w:lineRule="exact"/>
        <w:rPr>
          <w:sz w:val="20"/>
          <w:szCs w:val="20"/>
          <w:color w:val="auto"/>
        </w:rPr>
      </w:pPr>
    </w:p>
    <w:p>
      <w:pPr>
        <w:ind w:left="515" w:hanging="515"/>
        <w:spacing w:after="0"/>
        <w:tabs>
          <w:tab w:leader="none" w:pos="5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769"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all of the other information included in this report before making an investment decision with regard to our securities. The statements contained in or incorporated into this report that are not historic facts are forward-looking statements that are subject to risks and uncertainties that could cause actual results to differ materially from those set forth in or implied by forward-looking statements. If any of the following risks actually occurs, our business, financial condition or results of operations could be harmed. In that case, the trading price of our ordinary shares could decline, and you may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 Related to SunCar’s Business</w:t>
      </w:r>
    </w:p>
    <w:p>
      <w:pPr>
        <w:spacing w:after="0" w:line="227" w:lineRule="exact"/>
        <w:rPr>
          <w:sz w:val="20"/>
          <w:szCs w:val="20"/>
          <w:color w:val="auto"/>
        </w:rPr>
      </w:pPr>
    </w:p>
    <w:p>
      <w:pPr>
        <w:jc w:val="both"/>
        <w:ind w:left="980" w:hanging="324"/>
        <w:spacing w:after="0" w:line="26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auto services business and auto eInsurance business largely depend on our relationships with our customers. See Risk Factor - </w:t>
      </w:r>
      <w:r>
        <w:rPr>
          <w:rFonts w:ascii="Times New Roman" w:cs="Times New Roman" w:eastAsia="Times New Roman" w:hAnsi="Times New Roman"/>
          <w:sz w:val="18"/>
          <w:szCs w:val="18"/>
          <w:i w:val="1"/>
          <w:iCs w:val="1"/>
          <w:color w:val="auto"/>
        </w:rPr>
        <w:t>Our auto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 business and auto eInsurance business largely depend on our relationships with our customers. If we cannot maintain good relationships or provide satisfactory services to them, we may lose some of our business.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rely on our auto service providers and external referral sources to operate our business, therefore our relationships with our service providers are crucial to our business. See Risk Factor - </w:t>
      </w:r>
      <w:r>
        <w:rPr>
          <w:rFonts w:ascii="Times New Roman" w:cs="Times New Roman" w:eastAsia="Times New Roman" w:hAnsi="Times New Roman"/>
          <w:sz w:val="18"/>
          <w:szCs w:val="18"/>
          <w:i w:val="1"/>
          <w:iCs w:val="1"/>
          <w:color w:val="auto"/>
        </w:rPr>
        <w:t>We rely on our auto service providers and external referral sources to operate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therefore our relationships with our service providers are crucial to our business. Failure to establish and maintain stable relationships with them and other supply chain disruptions may adversely affect our results of operations and business prospects.</w:t>
      </w:r>
    </w:p>
    <w:p>
      <w:pPr>
        <w:spacing w:after="0" w:line="177"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subject to customer concentration risk. See Risk Factor - </w:t>
      </w:r>
      <w:r>
        <w:rPr>
          <w:rFonts w:ascii="Times New Roman" w:cs="Times New Roman" w:eastAsia="Times New Roman" w:hAnsi="Times New Roman"/>
          <w:sz w:val="18"/>
          <w:szCs w:val="18"/>
          <w:i w:val="1"/>
          <w:iCs w:val="1"/>
          <w:color w:val="auto"/>
        </w:rPr>
        <w:t>We are subject to customer concentration risk. Our growth and revenue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materially and adversely affected if we lose any significant customer, or if any significant customer fails to cooperate with us at anticipated levels.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credit risks from our customers.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negative net operating cash flows in the past may expose us to certain liquidity risks and could constrain our operational flexibility. See Risk Factor under such title.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services on our apps, websites or computer systems, including events beyond our control, could materially and adversely affect our business, financial condition and results of operation. See Risk Factor under such title.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our growth or execute our strategies effectively, our business and prospects may be materially and adversely affected. See Risk Factor under such title.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we cannot be certain if the reduced disclosure requirements applicable to “emerging growth companies” will make our ordinary shares less attractive to investors. See Risk Factor under such title.</w:t>
      </w:r>
    </w:p>
    <w:p>
      <w:pPr>
        <w:spacing w:after="0" w:line="159"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not be able to use certain of our leased properties due to defects related to these properties. See Risk Factor - </w:t>
      </w:r>
      <w:r>
        <w:rPr>
          <w:rFonts w:ascii="Times New Roman" w:cs="Times New Roman" w:eastAsia="Times New Roman" w:hAnsi="Times New Roman"/>
          <w:sz w:val="18"/>
          <w:szCs w:val="18"/>
          <w:i w:val="1"/>
          <w:iCs w:val="1"/>
          <w:color w:val="auto"/>
        </w:rPr>
        <w:t>We may not be 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use certain of our leased properties due to defects related to these properties. And failure to comply with PRC laws and regulations on leased property may expose us to potential fines and negatively affect our ability to use the properties we lease.</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our intellectual property rights and proprietary information, we may lose our competitive edge and our brand, reputation and operations may be materially and adversely affected. See Risk Factor under such title.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Risks Related to SunCar’s Insurance Services</w:t>
      </w:r>
    </w:p>
    <w:p>
      <w:pPr>
        <w:spacing w:after="0" w:line="229" w:lineRule="exact"/>
        <w:rPr>
          <w:sz w:val="20"/>
          <w:szCs w:val="20"/>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participate in the business as an insurance intermediary; therefore, we only obtained necessary licenses for the sale of insurance, but these insurance licenses do not allow us to create/modify insurance products. See Risk Factor under such title.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regulation and administration by the National Financial Regulatory Administration and other government authorities, and failure to comply with any applicable regulations and rules by us could result in financial losses or harm to our business. See Risk Factor under such title.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of the external referral sources we engaged to promote our auto eInsurance services is difficult to detect and deter and could harm our reputation or lead to regulatory sanctions or litigation costs. See Risk Factor under such title.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Examinations and investigations by the PRC regulatory authorities may result in fines and/or other penalties that may have a material adverse effect on our reputation, business, results of operations and financial condition. See Risk Factor under such title.</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commission revenue we earn on the sale of insurance products is based on premiums and commission rates set by insurance companies, any decrease in these premiums or commission rates, or increase in the referral fees we pay to our external referral sources, may have an adverse effect on our results of operation. See Risk Factor under such title.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insurance business is historically cyclical in nature, and there may be periods with excess underwriting capacity and unfavorable premium rates, which may negatively affect SunCar’s overall revenues. See Risk Factor - </w:t>
      </w:r>
      <w:r>
        <w:rPr>
          <w:rFonts w:ascii="Times New Roman" w:cs="Times New Roman" w:eastAsia="Times New Roman" w:hAnsi="Times New Roman"/>
          <w:sz w:val="18"/>
          <w:szCs w:val="18"/>
          <w:i w:val="1"/>
          <w:iCs w:val="1"/>
          <w:color w:val="auto"/>
        </w:rPr>
        <w:t>The insurance business is historically cyclical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and there may be periods with excess underwriting capacity and unfavorable premium rates, which may negatively affect SunCar’s overall revenues. SunCar also plans to further develop new insurance products narrowly tailored to the new trend in the car industry, but there is no guarantee that such innovation will receive positive feedback from the market or bring more revenues to SunCar.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9" w:lineRule="exact"/>
        <w:rPr>
          <w:sz w:val="20"/>
          <w:szCs w:val="20"/>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PRC regulations relating to investments in offshore companies by PRC residents may subject our PRC-resident beneficial owners or our PRC Operating Entities to liability or penalties. See Risk Factor - </w:t>
      </w:r>
      <w:r>
        <w:rPr>
          <w:rFonts w:ascii="Times New Roman" w:cs="Times New Roman" w:eastAsia="Times New Roman" w:hAnsi="Times New Roman"/>
          <w:sz w:val="18"/>
          <w:szCs w:val="18"/>
          <w:i w:val="1"/>
          <w:iCs w:val="1"/>
          <w:color w:val="auto"/>
        </w:rPr>
        <w:t>PRC regulations relating to investments in offshore companies by PRC residents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subject our PRC-resident beneficial owners or our PRC Operating Entities to liability or penalties, limit our ability to inject capital into our PRC Operating Entities or limit the ability of our PRC Operating Entities to increase their registered capital or distribute profits.</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uncertainties exist with respect to the interpretation and implementation of the PRC Foreign Investment Law and how it may impact the viability of our current corporate structure, corporate governance and business operations. See Risk Factor under such title.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Chinese government exerts substantial influence over the manner in which SunCar must conduct our business activities. See Risk Factor - </w:t>
      </w:r>
      <w:r>
        <w:rPr>
          <w:rFonts w:ascii="Times New Roman" w:cs="Times New Roman" w:eastAsia="Times New Roman" w:hAnsi="Times New Roman"/>
          <w:sz w:val="18"/>
          <w:szCs w:val="18"/>
          <w:i w:val="1"/>
          <w:iCs w:val="1"/>
          <w:color w:val="auto"/>
        </w:rPr>
        <w:t>The Chinese government exerts substantial influence over the manner in which we must conduct our business activities. We are currently not required to obtain permission or approval from Chinese authorities to list on U.S exchanges, however, if we were required to obtain permission or approval in the future and were denied permission or approval from Chinese authorities to list on U.S. exchanges, we will not be able to continue listing on U.S. exchange and the value of our ordinary shares may significantly decline or be worthless, which would materially affect the interest of the investors.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both"/>
        <w:ind w:left="324" w:hanging="324"/>
        <w:spacing w:after="0" w:line="258"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business is conducted in RMB and the price of our ordinary shares is quoted in United States dollars, changes in currency conversion rates may affect the value of your investments. See Risk Factor - </w:t>
      </w:r>
      <w:r>
        <w:rPr>
          <w:rFonts w:ascii="Times New Roman" w:cs="Times New Roman" w:eastAsia="Times New Roman" w:hAnsi="Times New Roman"/>
          <w:sz w:val="18"/>
          <w:szCs w:val="18"/>
          <w:i w:val="1"/>
          <w:iCs w:val="1"/>
          <w:color w:val="auto"/>
        </w:rPr>
        <w:t>Because our business is conducted in RMB and the price of our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is quoted in United States dollars, changes in currency conversion rates may affect the value of your investments. Any significant revaluation of the RMB may materially and adversely affect our cash flows, revenue and financial condition. Changes in the conversion rate between the United States dollar and the RMB will affect the amount of proceeds we will have available for our business.</w:t>
      </w:r>
    </w:p>
    <w:p>
      <w:pPr>
        <w:spacing w:after="0" w:line="183"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a variety of laws and regulations in the PRC regarding privacy, data security, cybersecurity, and data protection. SunCar may be liable for improper use or appropriation of personal information. See Risk Factor under such title.</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artificial intelligence services may impose additional compliance obligations on our operations and limit our ability to deploy AI technologies, which could adversely affect our business. See Risk Factor under such title.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SunCar is classified as a PRC resident enterprise for PRC income tax purposes, such classification could result in unfavorable tax consequences to us and our non-PRC shareholders and ordinary shareholders. See Risk Factor under such title.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any preferential tax treatments or the discontinuation, reduction or delay of any of the preferential tax treatments that may be available to us in the future could materially and adversely affect our business, financial condition and results of operations. See Risk Factor under such title.</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permission or approval of the China Securities Regulatory Commission may be required in future offerings or financings, and, if required, we cannot predict whether we will be able to obtain such permission or approval. See Risk Factor under such title.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PRC regulation of loans to and direct investment in PRC entities by offshore holding companies may delay us from using the proceeds of future offerings. In addition, the PRC government imposes controls on the convertibility of RMB into foreign currencies and, in certain cases, the remittance of currency out of China, to the extent cash in the business is in the PRC/Hong Kong or a PRC/Hong Kong entity, the funds may not be available to fund operations or for other use outside of the PRC/Hong Kong due to interventions in or the imposition of restrictions and limitations on the ability of SunCar or SunCar’s subsidiaries, by the PRC government to transfer cash. In terms of the cash transfer among SunCar and its subsidiaries, subject to the amounts of cash transfer and the nature of the use of funds, requisite internal approval shall be obtained prior to each cash transfer. Specifically, all transactions require the approval of the financial controllers of the entities involved. As for an internal cash transfer exceeding RMB10,000,000 (approximately $1.5 million), the general manager is also required to conduct review and approval. See Risk Factor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PRC regulation of loans to and direct investment in PRC entities by offshore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 companies may delay us from using the proceeds of future offerings to make loans or additional capital contributions to our PRC Operating Entities, which could materially and adversely affect our liquidity and our ability to fund and expand our business.</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Recently, the PRC government initiated a series of regulatory actions and released guidelines to regulate business operations in China with little advance notice, including those related to data security or anti-monopoly concerns, which may have an impact on our ability to conduct certain business in China, accept foreign investments, or list on a U.S. or other foreign exchange. See Risk Factor - </w:t>
      </w:r>
      <w:r>
        <w:rPr>
          <w:rFonts w:ascii="Times New Roman" w:cs="Times New Roman" w:eastAsia="Times New Roman" w:hAnsi="Times New Roman"/>
          <w:sz w:val="18"/>
          <w:szCs w:val="18"/>
          <w:i w:val="1"/>
          <w:iCs w:val="1"/>
          <w:color w:val="auto"/>
        </w:rPr>
        <w:t>We face uncertainties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respect to indirect transfers of equity interests in PRC resident enterprises by their non-PRC holding companies </w:t>
      </w:r>
      <w:r>
        <w:rPr>
          <w:rFonts w:ascii="Times New Roman" w:cs="Times New Roman" w:eastAsia="Times New Roman" w:hAnsi="Times New Roman"/>
          <w:sz w:val="18"/>
          <w:szCs w:val="18"/>
          <w:color w:val="auto"/>
        </w:rPr>
        <w:t>and Risk Factor -</w:t>
      </w:r>
      <w:r>
        <w:rPr>
          <w:rFonts w:ascii="Times New Roman" w:cs="Times New Roman" w:eastAsia="Times New Roman" w:hAnsi="Times New Roman"/>
          <w:sz w:val="18"/>
          <w:szCs w:val="18"/>
          <w:i w:val="1"/>
          <w:iCs w:val="1"/>
          <w:color w:val="auto"/>
        </w:rPr>
        <w:t xml:space="preserve"> The M&amp;A Rules and certain other PRC regulations may make it more difficult for us to pursue growth through acquisitions.</w:t>
      </w:r>
    </w:p>
    <w:p>
      <w:pPr>
        <w:spacing w:after="0" w:line="29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14" w:name="page15"/>
    <w:bookmarkEnd w:id="14"/>
    <w:p>
      <w:pPr>
        <w:jc w:val="both"/>
        <w:ind w:left="980" w:hanging="324"/>
        <w:spacing w:after="0" w:line="254"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Chinese government exerts substantial influence over the manner in which we must conduct our business activities. Therefore, investors in the securities and our business face potential uncertainty from the PRC government’s policy. The Chinese government may intervene or influence our operations at any time or may exert more control over offerings conducted overseas and/or foreign investment in China-based issuers, which could result in a material change in our operations and/or the value of our securities.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to be worthless. See Risk Factor - </w:t>
      </w:r>
      <w:r>
        <w:rPr>
          <w:rFonts w:ascii="Times New Roman" w:cs="Times New Roman" w:eastAsia="Times New Roman" w:hAnsi="Times New Roman"/>
          <w:sz w:val="18"/>
          <w:szCs w:val="18"/>
          <w:i w:val="1"/>
          <w:iCs w:val="1"/>
          <w:color w:val="auto"/>
        </w:rPr>
        <w:t>The permission or approval of the China Securities Regulatory Commission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in connection with this Transaction, and, if required, we cannot predict whether we will be able to obtain such permission or approval.</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auditor is headquartered in Singapore, Singapore, and is subject to inspection by the PCAOB on a regular basis. See Risk Factor - </w:t>
      </w:r>
      <w:r>
        <w:rPr>
          <w:rFonts w:ascii="Times New Roman" w:cs="Times New Roman" w:eastAsia="Times New Roman" w:hAnsi="Times New Roman"/>
          <w:sz w:val="18"/>
          <w:szCs w:val="18"/>
          <w:i w:val="1"/>
          <w:iCs w:val="1"/>
          <w:color w:val="auto"/>
        </w:rPr>
        <w:t>Holding Foreign Companies Accountable Act, or the HFCAA, and the related regulations are evolving quickly. Further implementations and interpretations of our amendments to the HFCAA or the related regulations, or a PCAOB’s determination of its lack of sufficient access to inspect our auditor, might pose regulatory risks to and impose restrictions on us because of our operations in mainland China that PCAOB may not be able to inspect or investigate completely such audit documentation and, as such, you may be deprived of the benefits of such inspection and our ordinary share could be delisted from the stock exchange pursuant to the HFCAA.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SunCar Securities</w:t>
      </w:r>
    </w:p>
    <w:p>
      <w:pPr>
        <w:spacing w:after="0" w:line="229" w:lineRule="exact"/>
        <w:rPr>
          <w:sz w:val="20"/>
          <w:szCs w:val="20"/>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are no current plans to pay cash dividends on the Class A Ordinary Share for the foreseeable future, you may not receive any return on investment unless you sell your Class A Ordinary Share for a price greater than that which you paid for it. See Risk Factor under such title.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SunCar fails to implement and maintain an effective system of internal controls to remediate its material weaknesses over financial reporting, SunCar may be unable to accurately report its results of operations, meet its reporting obligations or prevent fraud, and investor confidence and the market price of SunCar’s ordinary shares may be materially and adversely affected. See Risk Factor under such title.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perceived sales of substantial amounts of our securities in the public market could have a material adverse effect on the prevailing market price of our Ordinary Shares and our ability to raise capital in the future and may result in dilution of your shareholdings. See Risk Factor under such title.</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conflicts of interest with our largest shareholder and may not be able to resolve such conflicts on favorable terms for us. See Risk Factor under such title.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General Risks Related to SunCar’s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historical business growth and profitability may not be indicative of future performance. You should not rely on the results of our operations as an indication of future revenue, profit or growth.</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commenced our auto eInsurance business in May 2007 and launched our auto services business in June 2013, both through our operating entities in China. Our revenue and net profit increased continually. However, our historical performance may not be indicative of our future growth or financial results. We cannot assure you that we will be able to deliver similar growth or avoid any decline in the future. Our growth may slow down, and our revenue and net profit may decline for a number of possible reasons, including the risk factors set forth in this Report. Some of the risks are beyond our control, including declining growth of our overall market or industry, increasing competition, the emergence of alternative business models, decreasing customer base, changes in rules, regulations, government policies or general economic conditions, and we may encounter unforeseen expenses, difficulties, complications, delays and other unknown factors. You should consider our business and prospects in light of these risks and not unduly rely on our past results of operations or historical growth rate as an indicator of our future performance.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cordial relationships with our business partners, our business, results of operations, financial condition and business prospects could be materially and adversely affected.</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a company working as an intermediary in auto services and insurance. Therefore, we depend on our auto service providers and insurance companies partners to provide services to our customers and the end customers. Our success depends on our ability to, among other things, develop and maintain relationships with our existing business partners and attract new business partners.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auto services business and auto eInsurance business largely depend on our relationships with our customers. If we cannot maintain good relationships or provide satisfactory services to them, we may lose some of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our auto services business, our enterprise customers are our direct customers, mainly consisting of banks, insurance companies and other large corporations. We secure service contracts with a substantial number of our enterprise customers through a bidding or centralized procurement process. These contracts generally have a term of one or two years which, upon expiry, we are typically subject to a new round of bidding or centralized procurement process to be awarded a renewed contract. We cannot assure you that we will always be invited to participate in the bidding or procurement process of our existing customers upon expiry of our existing contract terms or potential customers that we strive to establish business relationship with, or that we would be able to succeed in the bidding or procurement processes or maintain comparable success rates in the future. Furthermore, our cooperation with our enterprise customers is subject to their annual budget constraints, which could indirectly affect the growth of our auto services business.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our auto eInsurance business, we provide agency services for major insurance companies in China by distributing primarily auto eInsurance products underwritten by them and receive commissions from these insurance companies. Our relationships with these insurance companies are governed by agreements between the insurance companies and us. These contracts generally provide, among other things, the scope of our authority and our commission rates, and typically have a term of one or three years. Certain of these contracts can also be terminated by the insurance companies with relatively short notice under certain circumstances. There is no assurance that we would be able to renew any such contracts upon their expiry with terms that are comparable to or better than the existing ones, if at all. Any interruption to or discontinuation of our relationships with these insurance companies may severely and negatively impact our results of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client and end consumer recognition is critical for us to remain competitive. Our ability to maintain and enhance client and end-consumer recognition and reputation depends primarily on the quality of the products and services they receive. If we are unable to maintain and further enhance our enterprise customer and end consumer recognition and reputation and promote awareness of our product offerings and services, we may not be able to maintain or continue to expand our customer base, and our results of operations may be materially and adversely affected. Furthermore, any negative or malicious publicity relating to our Group, products and services could harm our brand image and in turn materially and adversely affect our business and results of operations.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auto service providers and external referral sources to operate our business, therefore our relationships with our service providers are crucial to our business. Failure to establish and maintain cordial relationships with them and other supply chain disruptions may adversely affect our results of operations and business prospects.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auto services business, we rely on our auto service providers to deliver a variety of automobile-related services to end customers of our enterprise customers. Accordingly, our relationships with the auto service providers and their quality of service are crucial for us to continue our business growth and promote our brand and reputation among our customers. If our relationships with them deteriorate, our business, financial condition and results of operations may be materially and adversely affected. Similarly, failure of our auto service providers to deliver services of satisfactory quality may cause our customers to stop using our services, which could adversely affect our revenue or even jeopardize the business relationship with our customers.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auto eInsurance business, we collaborate with various external referral sources to expedite our market penetration and broaden our end consumer base. Our external referral sources are our service providers in the auto eInsurance business. Failure to establish and maintain cordial relationships with our external referral sources may materially and adversely affect our ability to expand our business scale and geographical coverage, which in turn could adversely affect our results of operations and business prospects.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our contracts with our customers and service providers are typically non-exclusive, and they may choose to cooperate with our competitors or offer competing services themselves. For example, there is an increasing trend that major insurance companies build their own Internet or mobile channels and strengthen their in-house capabilities to distribute their insurance products, as well as establishing their own auto eInsurance arms. Our auto service providers may also choose to work with our competitors or other service platforms, which may offer better terms or bring up more business volume to them. In any event, there is no assurance that we will be able to continuously maintain positive relationships with our business partners or continue to work with them on terms favorable to us, or at all. If any of the foregoing occurs, our business growth, results of operations and financial condition will be adversely affected.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our auto service providers depend upon frequent use of auto parts, products, and supplies to perform the services they provide for us. Shortages or interruptions in the supply chain caused by unexpected demand, problems in production or distribution, acts of terrorism, financial or other difficulties of suppliers, labor issues, inclement weather, natural disasters such as floods, drought and hurricanes, outbreak of armed conflicts or disease, or other conditions could adversely affect the availability, quality and cost of supplies for such products, which could materially and adversely affect the businesses of our auto service providers and 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Recent global supply chain disruptions have had minimal direct impacts on our operations, because our business is digitalized and requires very little continuous supply of physical materials. However, we cannot assure you that such conditions will not materially affect our operations in the future. Moreover, the labor supply of our auto service providers has been affected only minimally, since we source these providers in China locally, close to the locations of our customers service requests. For examples, Russia, Ukraine, and the United States have no nexus to our supply chains, so events happening in these locations have had minimal impact on our supply chain management to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inflationary pressures could negatively impact our results of operations and cash flows.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two types of possible inflationary pressures: (1) general pressure from inflation-related economic slowdown and (2) specific pressure from inflation of the prices of fuel. First, inflation could slow down the global economy and the economic activity in China in particular and thus decrease the over amount of automobile usage in China which would impact our business. So far, this risk has not been realized, and we see automobile usage in China continue to steadily grow. Second, since the 2022 inflation episode was triggered by the conflict in Ukraine and the resulting increase in fossil fuel prices, it particularly impacts the automobile industry which still mainly relies on fossil fuel to power the vehicles. Thus, the auto industry and related industries, including insurance and auto service industries where we operate, would face increased costs of operation even more significant than the global economy, driven by the increase in fuel prices. Our efforts in developing our electric vehicle (“EV”) business line may not be able to completely offset this risk, since EV is still a minority portion of the entire auto industry.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and employee benefits may adversely affect our business and profitability.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Labor costs in China have risen in recent years as a result of social and economic development including the increasing inflation. Average wages in China are expected to continue increasing. We may also need to increase our total compensation packages to attract and retain experienced personnel to achieve our business objectives. In addition, we are required by the PRC laws and regulations to pay various statutory employee benefits, including pension, housing fund, and insurance, to designated government authorities for the benefits of our employees. We may be determined by the relevant government authorities to have failed to make adequate payments to the statutory employee benefits, due to the inconsistent implementation or interpretation of the PRC laws and regulations by local authorities or our lack of understanding of the relevant PRC laws and regulations. As a result, we may be subject to late payment fees or other penalties. As of the date of this Report, our PRC Operating Entities have not been materially impacted, in part because our labor suppliers, the auto service providers, are highly fragmented and not coordinated as US-style labor unions do not exist in the PRC. However, we expect that our labor costs, including wages and employee benefits, will continue to increase. Our financial condition and results of operations may be adversely affected as a result of any material increase in our labor costs.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customer concentration risk. Our growth and revenue could be materially and adversely affected if we lose any significant customer, or if any significant customer fails to cooperate with us at anticipated levels.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had two customers accounting for more than 10% of our revenue for a total of 39%, and two customers that each accounted for more than 10% of our accounts receivables for a total of 25%. For the year ended December 31, 2024, we had three customers accounting for more than 10% of our revenue for a total of 45%, and four customers that each accounted for more than 10% of our accounts receivables for a total of 63%.</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are a number of factors, other than our performance, that could cause a loss of, or a decrease in, the volume of business from a customer. Despite our moderate and decreasing customer concentration and our record of maintaining customer loyalty, our top customers, especially the insurance companies, are large state-owned enterprises that may have significant bargaining power over us and may be difficult to replace if we lose them. We cannot assure you that we will continue to maintain business cooperation with these customers at the same level, or at all. The loss of business from any of these significant customers, or any downward adjustment of the commission rates paid to us, could materially and adversely affect our revenue and profit. Furthermore, if any significant customer terminates the relationship with us, we cannot assure you that we will be able to secure an alternative arrangement with a comparable insurance company in a timely manner,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credit risks from our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typically grant credit periods to our automobile enterprise customers. While they are principally insurance companies and banking institutions, there is no assurance that income receivable by us will not be subject to disputes with our customers and partners. Given the scale of our customers and the negotiating positions they enjoy, in case of dispute we are typically in a less favorable position to succeed in recovering the trade receivables and our financial position and results of operations may be negatively impacted as a result.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outstanding accounts receivable are not covered by collateral or credit insurance. While we have procedures to monitor and limit exposure to credit risk on our accounts receivable, which risk is heightened during periods of uncertain economic conditions, there can be no assurance such procedures will effectively limit our credit risk and enable us to avoid losses, which could have a material adverse effect on our financial condition and operating results. Our net accounts receivable balance was US$59.8 million and US$75.6 million as of December 31, 2025 and December 31, 2024, respectively, and we recognized bad debt expenses of US$3.7 million for the year ended December 31, 2025, and reversed credit losses of $1.3 million for the year ended December 31, 2024.</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facilitate diversified products and services to effectively address our end consumers’ needs, which could have a material adverse effect on our business, results of operations and financial condition.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strive to continuously upgrade our auto services by offering more comprehensive service solutions and enhanced customer experience. We also seek to collaborate with more insurance companies located in our existing and new geographical markets, while maintaining a full spectrum of insurance product offerings. Expansion into new product and service categories and geographies involves new risks and challenges. If we fail to respond to the changing and emerging needs and preferences of our customers and end consumers, or if we respond inadequately to such needs and preferences, our business, results of operations, and financial condition may be materially and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breaches to our security measures, including unauthorized access to our systems, computer viruses and cyber-attacks may adversely affect our database and reduce the use of our services and damage our reputation and brand names.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business as a provider of online platforms, we collect, host, store, transfer, process, disclose, use, secure and retain and dispose of large amounts of personal and business information about our customers and partners. We focus on ensuring that we safeguard and protect personal and business information and client funds, and we devote significant resources to maintain and regularly update our systems and processes. Nonetheless, the global environment continues to grow increasingly hostile as attacks on information technology systems continue to grow in frequency, complexity and sophistication, and we are regularly targeted by unauthorized parties using malicious tactics, code and viruses.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cyberattack, unauthorized intrusion, malicious software infiltration, network disruption, denial of service, corruption of data, theft of non-public or other sensitive information, or similar act by a malevolent party (including our personnel), or inadvertent acts or inactions by our vendors, partners or personnel, could result in the loss, disclosure or misuse of confidential personal or business information or the theft of client, and could have a materially adverse effect on our business or results of operations or that of our customers, result in liability, litigation, regulatory investigations and sanctions or a loss of confidence in our ability to serve clients, or cause current or potential clients to choose another service provider. As the global environment continues to grow increasingly hostile, the security of our operating environment is ever more important to our customers and potential clients. As a result, the breach or perceived breach of our security systems could result in a loss of confidence by our customers or potential clients and cause them to choose another service provider, which could have a materially adverse effect on our business.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Report, we believe we are not subject to any material cybersecurity risks. Although we believe that we maintain a robust program of information security and controls and none of the data or cybersecurity incidents that we have encountered to date have materially impacted us, we cannot guarantee that our measures will always be reliable, a data or cybersecurity incident could disrupt our continuing service to our customers and their end users, force us in providing inferior services, or delay the completion of our service, and then in turn have a materially adverse effect on our business, results of operations, financial condition and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markets we operate in, and some of our competitors may have greater resources or brand recognition than 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automobile auto eInsurance market and the integrated auto service market in China are highly fragmented and competitive. In our auto services business, we primarily compete with a large number of integrated service providers and other independent auto service providers. We compete for customers on the basis of product offerings, pricing, customer services and reputation. In our auto eInsurance business, we face competition from insurance companies that use their in-house sales force, exclusive sales agents, telemarketing, and Internet or mobile channels to distribute their insurance products, and from business entities that distribute insurance products on an ancillary basis, such as commercial banks, postal offices and automobile dealerships, as well as from other professional insurance intermediaries.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our current and future competitors may have greater financial and marketing resources than we do and may be able to offer services that we do not currently have and may not offer in the future. The disruption of business cooperation with major banks and insurance companies with which we work with may cause us to lose our competitive advantages in certain areas. If we are unable to compete effectively against and stay ahead of our competitors, we may lose customers and our financial results may be negatively affected.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Our negative net operating cash flows in the past may expose us to certain liquidity risks and could constrain our operational flexibility.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positive net operating cash flows in 2025 and 2024, and negative net operating cash flows in 2023. Our cash flows have been affected by a general mis-match of cash inflow and outlay on the operational level resulting from our significantly longer trade receivables turnover days compared to our trade payables turnover days, as our customers are mostly banks and insurance companies and their respective payment process is generally significantly longer than our payment process to our external referral sources and auto service providers.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assure you that we will not experience net current liabilities or negative net operating cash flows in the future. Our future liquidity, ability to make necessary capital expenditures, the payment of trade and other payables, as and when they become due, will primarily depend on our ability to maintain adequate cash inflows from our operating activities and adequate external financing. Our ability to generate adequate cash inflows from operating activities may be affected by our future operating performance, prevailing economic conditions, our financial, business and other factors, many of which are beyond our control. Also, we may not be able to renew or refinance our existing bank borrowings or secure additional external financing on a timely basis or on acceptable terms, or at all. The occurrence of any of the foregoing may cause us not to have sufficient cash flow to fund our operating costs and constrain our operational flexibility and, in that event, our business, financial condition and results of operations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latest business growth strategy may negatively impact our financial results and profit margins in the short run.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better align with the development of current vehicle industry, particularly the growth of the electric vehicle (“EV”) market, and to transition toward a sustainable growth strategy, we plan to focus on several key initiatives to further increase the revenue of SunCar. Our growth strategy includes the following: (1) expanding our customers base in line with market trends; (2) in response to vehicle electrification and the increasing adoption of EVs, SunCar is working to provide digitalized, online services; (3) coordinating with multiple insurance companies, and design new insurance plans for EV drivers which will be sold exclusively through SunCar; and (4) increasingly monetizing the management technology (SaaS) solutions we provide for small business partners. Although we do not expect our profit margin to decrease as a result of our latest business growth strategy, given that the strategy does not require a significant increase in capital expenditures, we may not succeed in achieving one or more of the goals under our growth strategy and it may cost us more expenses to achieve them than we anticipate. If we incur substantial expenses in implementing these plans without being able to achieve the anticipated business growth and expansion, our operating and financial results and our business prospects may be materially and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seasonality.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auto eInsurance business, our revenue (i.e., commissions from insurance companies) is subject to quarterly fluctuations as a result of, among other factors, the seasonality of our business, the timing of policy renewals of individual policy owners and the net effect of new and lost business. During any given year, our revenue derived from distribution of insurance products is generally lower during the first quarter. The factors that cause such quarterly variations are not within our control. Specifically, changes in end-consumer demand, timing of renewals, and cancellations of insurance policies would cause seasonal fluctuations in our results of operations. On the other hand, revenue derived from our auto service business in any given year also exhibits seasonality and is generally highest in the second quarter and the fourth quarter, mainly resulting from the expiry of reward points in our enterprise customers’ reward programs or customer loyalty programs and the promotional activities launched by our major customers in June and December of each year. In addition, changes in certain of our expenses do not necessarily correspond with such fluctuations. For example, we spend money on marketing activities, staff recruitment and training, and product development throughout the year, and we pay rent for our facilities based on the terms of the lease agreements. We may also incur significant costs for our information technology systems and enhancements and upgrades of our apps from time to time in support of our business developments. We expect to continue to experience seasonal fluctuations in our revenue and results of operations. These fluctuations could result in volatility in our results of operations. As a result, you may not be able to rely on quarterly comparisons of our operating results as an indication of our future performance.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 in services on our apps, websites or computer systems, including events beyond our control, could materially and adversely affect our business, financial condition and results of operation.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on the ability of our information technology systems to timely process a large number of transactions across different markets and products at a time when the volume of such transactions is growing rapidly. We are also increasingly relying on our apps to facilitate the business process of both our auto eInsurance and our auto services. The usability of our apps, as perceived by users, can influence customer satisfaction. The proper functioning and improvement of our apps, our accounting, customer database, customer service and other data processing systems, together with the communication systems between our various branches and our principal executive office in Shanghai, is critical to our business and to our ability to compete effectively. We cannot assure you that our business activities would not be materially disrupted in the event of a partial or complete failure of any of these primary information technology or communication systems, which could be caused by, among other things, software malfunction, computer virus attacks or conversion errors due to system upgrading. In addition, a prolonged failure of any of our information technology systems could damage our reputation and materially and adversely affect our operations and profitability.</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and our planned business developments are dependent on the proper function of our IT systems and infrastructure and our ability to continuously improve our IT systems and infrastructure and adopt advancing technologies. Breakdown of any of our major IT systems or failure to keep up with technological developments would materially and adversely affect our business, results of operations and future prospects.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proprietary technology and technological capabilities are critical to the development and maintenance of our IT systems and infrastructure underlying our apps and platforms, which in turn is vital to our business operations and planned developments. We need to keep abreast of the fast-evolving IT developments, and continuously invest in significant resources, including financial and human capital resources to maintain, upgrade and expand our IT systems and infrastructure in tandem with our business growth and developments. However, research and development activities are inherently uncertain, and investments in information technologies and development of proprietary technologies may not always lead to commercialization or monetarization, or lead to increased business volume and/or profitability. The fast-evolving IT developments may also render our existing systems and infrastructure and those that are newly developed and implemented obsolete before we are able to reap sufficient benefits to recover their investment costs and may lead to substantial impairments which would adversely affect our results of operations. Obsolescence in our proprietary technology, IT systems and infrastructure may also significantly impair our ability to conduct and grow our business and compete effectively, which could materially and adversely impact our results of operations and business prospects. On the other hand, any significant breakdown of our IT systems and infrastructure may materially and adversely affect our business, results of operations, reputation and business prospects, and may even subject us to potential claims or even litigations, particularly as parts of our IT systems and infrastructure are linked to or connected with IT systems and infrastructure of our insurance company partners and enterprise customers, who are mostly sizeable and reputable financial institutions whom themselves are subject to stringent regulatory supervision. As we rely heavily on our apps, IT systems and infrastructure to facilitate and conduct our business, any prolonged breakdown of systems and infrastructure could also materially impact our business and results of operations.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ensure and protect the confidentiality of the personal data of end consumers could subject us to penalties, negatively impact our reputation and deter end consumers from using our platforms.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providing our services, a challenge we face is secured collection, storage and transmission of confidential information. We acquire certain private information about end consumers, such as name, personal identification number, address and telephone number during the course of our business. We also obtained certain personal data from our insurance company partners and enterprise customers pursuant to the collaboration agreements with them, such as the vehicle registration number and registration date, the engine number, the make and model of the automobile and information about the current insured status of the automobile of a potential insurance purchaser. We are required to collect and use such information in accordance with relevant PRC laws and not to disclose or use such information without consent from the respective consumers.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taken steps to protect the personal data that we have access to, our security measures could be breached. Any accidental or willful security breaches or other unauthorized access to our system could cause confidential personal data to be stolen and used for criminal purposes and could also expose us to liability related to the loss of information, time-consuming and expensive litigation and negative publicity. If security measures are breached, or if we fail to protect confidentiality of the personal data of end consumers otherwise, our insurance company partners, our enterprise customers as well as end consumers may be deterred from choosing us, which could result in significant loss of business and we could incur significant liability, and our business and operations could be adversely affected.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an experienced management team and qualified personnel.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continued success depends on our ability to attract and retain an experienced management team and other employees with the requisite expertise and skills. Our ability to do so is influenced by a variety of factors, including the design and competitiveness of our compensation packages. Our management team and skilled employees may leave us, or we may terminate their employment at any time. We cannot assure you that we will be able to retain our management team and skilled employees or identify suitable or comparable replacements in a timely manner. Moreover, if any of our management team or skilled employees leaves us or joins a competitor, we may lose customers. In addition, former employees may request certain compensation arising from their resignation or retirement, which we typically negotiate on a case-by-case basis. If we are unable to reach a mutually acceptable resolution with such employees, they may pursue other actions, including, but not limited to initiating legal proceedings. Such legal proceedings may require us to pay damages, diverting our management’s attention, causing us to incur costs, and harming our reputation. In particular, our business operations and development depend critically on key individuals, including our Chairman and CEO, Mr. Ye Zaichang, and our CTO, Mr. Lei Zhunfu, the loss or departure of whom could materially impact our business. Each of these foregoing factors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or execute our strategies effectively, our business and prospects may be materially and adversely affected.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has grown substantially since our inception, and we expect continued growth in the scale of our business and our operations. We have significantly expanded branch establishment, our headcount and office facilities, and we anticipate further expansion in certain areas and geographies. This expansion increases the complexity of our operations and may cause strain on our managerial, operational and financial resources. We must continue to hire, train and effectively manage new employees. If our new hires perform poorly or if we are unsuccessful in hiring, training, managing and integrating new employees, our business, financial condition and results of operations may be materially harmed.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as we pursue our business growth and strive to expand our customer base, we endeavor to establish presence in new geographical markets, introduce new insurance products and types of auto services, and work with a variety of additional business partners, including banks, insurance companies, external referral sources and auto service providers, to address the evolving needs of the end consumers. We may have limited or no experience for certain new products and service offerings, and our expansion into these new products and service offerings may not achieve broad acceptance among our customers or end consumers. These offerings may present new and difficult technological or operational challenges, and we may be subject to claims if end consumers do not have satisfactory experiences in general. To effectively manage the expected growth of our business and operational scale, we will need to continue improving our transaction processing, technological, operational and financial systems, policies, procedures and controls. All of these endeavors involve risks and will require significant management, financial and human resources. We cannot assure you that we will be able to effectively manage our growth or to implement our strategies successfully. If we are not able to manage our growth effectively, or at all, our business and prospects may be materially and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ordinary shares less attractive to investors.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PCAOB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shareholder approval of any golden parachute payments not previously approved. We currently intend to take advantage of the reduced disclosure requirements regarding executive compensation, including the exemptions from the advisory vote requirements and executive compensation disclosures under the Dodd-Frank Wall Street Reform and Customer Protection Act, or the Dodd-Frank Act, and the exemption from the provisions of Section 404(b) of the Sarbanes-Oxley Act. In addition, Section 107 of the JOBS Act provides that an emerging growth company can take advantage of the extended transition period provided in Section 7(a)(2)(B) of the Securities Act for complying with new or revised accounting standards, meaning that the company can delay the adoption of certain accounting standards until those standards would otherwise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remain an “emerging growth company” until the fiscal year-end following the fifth anniversary of the completion of the initial offering of GBRG, though we may cease to be an “emerging growth company” earlier under certain circumstances, including (1) if we become a large accelerated filer, (2) if our gross revenue exceeds $1.07 billion in any fiscal year, or (3) if we issue more than $1.0 billion in non-convertible notes in any three year period. The exact implications of the JOBS Act are still subject to interpretations and guidance by the SEC and other regulatory agencies, and we cannot assure you that we will be able to take advantage of all of the benefits of the JOBS Act. In addition, investors may find our ordinary shares less attractive if we rely on the exemptions and relief granted by the JOBS Act. If some investors find our ordinary shares less attractive as a result, there may be a less active trading market for our ordinary shares, and our stock price may decline and/or become more volatile.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use certain of our leased properties due to defects related to these properties. And failure to comply with PRC laws and regulations on leased property may expose us to potential fines and negatively affect our ability to use the properties we lease.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Report, we operated our business primarily through one owned property in Shanghai and 76 leased properties across China. For some leased properties, the landlords have not provided ownership certificates, or where the landlords are not the owners, consent letters from the property owners for leasing or sub-leasing the properties. We believe that lessors are not entitled to lease properties if they do not have ownership of such properties or consent from the property owners authorizing the lease. If our lessors are not the owners of the properties, or if they have not obtained the necessary consent from the owners or permits from the relevant government authorities, our leases could be challenged or invalidated. Any claims by third parties regarding the ownership or leasing rights of these properties could adversely affect our ability to lease and operate from such properties.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Administrative Measures for Commodity Housing Leasing, parties to a lease agreement are required to file the lease agreements for registration and obtain property leasing filing certificates for their leases. Our leasehold interests in leased properties have not been registered with the relevant PRC government authorities as required by PRC law, which may expose us to potential fines if we fail to remediate after receiving any notice from the relevant PRC government authorities. As of the date of this Report, we believe that our failure to complete the lease registration does not affect the legal effectiveness of our lease agreements under PRC law. However, real estate administrative authorities may require the parties to the lease agreements to complete lease registration within a prescribed period of time. Failure to do so may subject the parties to administrative fines from RMB1,000 to RMB10,000 per lease agreement. There can be no assurance that legal disputes or conflicts concerning such leases and tenancies will not arise in the future.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Report, we are not aware of any actions, claims or investigations threatened against us or our lessors with respect to the defects in our leasehold interests. However, if any of our leases is terminated as a result of challenges by third parties or governmental authorities for lack of title certificates or proof of authorization to lease, we do not expect to be subject to any fines or penalties, but we could be required to relocate the affected offices and incur additional expenses in connection with such relocation. Any dispute or claim in relation to the titles of the properties that we occupy, including any litigation involving allegations of illegal or unauthorized use of these properties, could require us to relocate our business operations occupying these properties.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our intellectual property rights and proprietary information, we may lose our competitive edge and our brand, reputation and operations may be materially and adversely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corporate name, trademarks and other intellectual properties are essential to our business. We believe our reputation and brand are closely associated with our corporate name, “Sheng Shi Da Lian” (in Chinese) and SunCar, and our trademarks. This association has contributed to the success of our business. Our corporate name may be damaged if it is used by third parties whose reputation or brand is not associated with quality, or if such third parties are otherwise the subject of any adverse publicity. In addition, other parties may use or attempt to register trademarks that are similar to our registered trademarks, potentially causing confusion among consumers. Policing unauthorized use of our corporate name and trademarks can be difficult and expensive. If any of the foregoing happens, the value of our trademarks and customer recognition of our brand may be adversely affected.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litigation may be necessary to enforce our intellectual property rights, protect our trademarks or determine the validity and scope of the proprietary rights of others. Such litigation may be costly and may divert management’s attention away from our business. An adverse determination in any such litigation could impair our intellectual property rights and harm our business, prospects and reputation. Enforcement of judgments in China is uncertain, and even if we are successful in litigation, it may not provide us with an effective remedy. In addition, we have no insurance coverage against litigation costs and would have to bear all costs arising from such litigation to the extent we are unable to recover them from other parties. The occurrence of any of the foregoing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other allegations by third parties, which may materially and adversely affect our business, results of operations and prospects.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current businesses in auto eInsurance and auto services are largely dependent on our online platforms. These platforms rely on large volumes of digital content and software (“softcopies”). In particular, certain leading companies own substantial intellectual property in these softcopies, which they may use to assert claims against us. From time to time, third parties holding such intellectual property rights, including companies, competitors, patent holding companies, customers and/or non-practicing entities, may assert softcopies or other intellectual property claims against us, our customers and partners, and those from whom we license technology and intellectual property.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believe that our platforms do not infringe the intellectual property rights of third parties, we cannot be certain that our operations do not or will not infringe or otherwise violate such rights held by third parties. Even if no infringement occurs, due to the uncertainties in Chinese intellectual property laws, we may be from time to time subject to legal proceedings or claims relating to the intellectual property rights of third parties, including claims that may lack merit. If we are forced to defend against any infringement or misappropriation claims, whether with or without merit, settled out of court, or determined in our favor, we may be required to spend significant time and financial resources. Regardless of the merits or eventual outcome, such claims could adversely impact our brand and business. Any such claims may require us to enter into royalty arrangements, prevent us from using certain intellectual property, or compel us to expend additional resources to redesign our solutions. Infringement assertions by third parties may involve patent-holding entities that have no relevant product revenue, meaning our issued and pending patents may offer little or no deterrence against these patent owners in bringing intellectual property right claims against us. An adverse outcome of a dispute could require us to pay damages, potentially including treble damages and attorney’s fees, if are found to have willfully infringed a party’s intellectual property; case making, licensing or using our solutions that are alleged to infringe or misappropriate the intellectual property of others; expend additional development resources to redesign our solutions’ enter into potentially unfavorable royalty or license agreements in order to obtain the right to use necessary technologies or works; and to indemnify our partners, customers and other third parties. Any of these events could adversely impact our business, results of operations and financial condition.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there may be third-party intellectual property rights or other rights that are infringed by our products, services or other aspects of our business without our awareness. To the extent that our employees or consultants use intellectual property owned by others in their work for us, disputes may arise as to the rights in related know-how and inventions or other proprietary assets. If any third-party infringement claims are brought against us, we may be forced to divert management’s time and other resources from our business and operations to defend against these claims, regardless of their merits.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application and interpretation of China’s intellectual property laws and the procedures and standards for granting trademarks, copyrights, know-how or other intellectual property rights in China, and the laws governing personal rights are still evolving and remain uncertain, and we cannot assure you that PRC courts or regulatory authorities would agree with our analysis. If we were found to have violated the intellectual property rights of others, we may be subject to liability for our infringement activities or may be prohibited from using such intellectual property or relevant contents, and we may incur licensing or usage fees or be forced to develop alternatives of our own. As a result, our reputation may be harmed, and our business and financial performance may be materially and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depend on the performance of the Internet and mobile Internet infrastructure and telecommunications networks in China, which may not be able to support the demands associated with our continued growth.</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Almost all access to the Internet in China is maintained through state-owned telecommunication operators under the administrative control and regulatory supervision of the Ministry of Industry and Information Technology (“MIIT”). Moreover, we primarily rely on a limited number of telecommunications service providers to provide us with data communication capacity via local telecommunication lines and Internet data centers that host our servers. We have limited access to alternative networks or services in the event of disruptions, failures or other problems with the Internet infrastructure or the telecommunication networks in China. We cannot assure you that these infrastructures will be sufficient to support the demands resulting from the continued growth in usage.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the expansion of our business, we may be required to upgrade our facilities, technology, and operational and information technology infrastructure to keep up with our business growth, which may require substantial investment. In addition, we may need to devote significant resources to creating, supporting and maintaining our mobile APPs, given the increasing trend of accessing the Internet through smart phones, tablets and other mobile devices and the continual release of new mobile devices and mobile platforms. However, we may not be able to effectively develop or enhance these technologies on a timely basis or at all, which may decrease end consumers’ satisfaction and efficiency of our business process. Our failure to keep pace with rapid technological changes may impact our ability to retain or attract end consumers of our products and services or generate income and have an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insurance coverage could expose us to significant costs and business disruption.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we maintain insurance policies covering risks generally in line with industry standards. We maintain limited business liability, litigation and property insurance. We do not maintain liability insurance coverage for our major assets and facilities and do not plan to obtain such coverage. This is consistent with our digitalized and online business model, which is light on tangible assets (approximately 5% of our total assets consist of property, plant and equipment). We do not have any business interruption insurance. Any uninsured occurrence of business disruption, litigation or natural disaster, or significant damage to our uninsured equipment or facilities could have an adverse effect on our results of operations. We also do not maintain key-man life insurance. The insurance companies in China currently offer limited business-related insurance products. As such, we may currently be unable to insure certain risks related to our assets or business even if we desired. If we were to incur substantial losses or liabilities due to natural disaster, disruption in our network infrastructure or business operations, or any material litigation, our results of operations could be materially and adversely affected. Our current insurance coverage may not be sufficient to prevent us from any loss, and we may not be able to successfully recover losses under our current insurance policies on a timely basis, or at all. If we incur any loss beyond the coverage of our insurance policies, or the amount indemnified is significant less than our actual loss, our business, financial condition and results of operations could be materially affected.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natural disasters, health epidemics or other public safety concerns affecting China. Natural disasters may give rise to server interruptions, breakdowns, system failures, technology platform failures or Internet failures, which could cause the loss or corruption of data or malfunctions of software or hardware as well as adversely affect our ability to operate our platform and provide services and solutions. In recent years, there have been outbreaks of epidemics in China and globally, such as H1N1 flu, avian flu, or other epidemics. Our business operations could be disrupted by any of these epidemics. In addition, our results of operations could be adversely affected to the extent that any health epidemic harms the Chinese economy in general. A prolonged outbreak of any of these illnesses or other adverse public health developments in China or elsewhere in the world could have a material adverse effect on our business operations. Such outbreaks could significantly impact the insurance industry, which could severely disrupt our operations and adversely affect our business, financial condition and results of operations. Our headquarters are located in Beijing, where most of our management and employees currently reside. Consequently, if any natural disasters, health epidemics or other public safety concerns were to affect Beijing, our operations may experience material disruptions, which may materially and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SunCar’s Insurance Services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participate in the business as an insurance intermediary, therefore, we only obtained necessary licenses for the sale of insurance, but these insurance licenses do not allow us to create/modify insurance products.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the leading online auto insurance platform in China and help customers to apply for insurance quickly and easily. The insurance industry in China is a highly regulated, and participation in the sale or resale of insurance products requires certain permissions or approvals from PRC regulatory authorities. As a platform provider, we need to obtain such permission or approval for sale of insurance, and we are currently holding valid licenses, but we are not permitted to create or modify insurance products. Currently, we believe such limitation will not materially affect our ability to provide platform services; however, if we decide to start providing insurance directly, or if any regulations change to require us to hold additional permissions or approvals to continue operating as a platform provider, we may have to incur additional costs and spend time obtaining the necessary licenses, for which there can be no assurance of success.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regulation and administration by the National Financial Regulatory Administration and other government authorities, and failure to comply with any applicable regulations and rules by us could result in financial losses or harm to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PRC Insurance Law, Regulatory Provisions on Professional Insurance Agencies, and related rules and regulations. The terms and premium rates of the insurance products we carry, the commission rates we earn, as well as the way in which we operate our auto eInsurance business, are subject to regulations. Any changes in these regulations could materially affect our profitability on the products we sell. A series of regulations and implementation directives were introduced to strengthen the regulation of premium and commission rates for commercial vehicle insurance since February 2015. In March 2015, the former China Insurance Regulatory Commission (“CIRC”), the regulatory authority responsible for supervising the insurance industry at that time, issued a work plan to deepen pilot reforms of the administration system for commercial motor vehicle insurance clauses and premium rates. These reforms aimed to provide insurance companies with greater pricing flexibility while strengthening regulatory oversight of terms and rates in the commercial auto insurance market. In July 2017, CIRC issued the Notice of China Insurance Regulatory Commission on Rectifying the Motor Vehicle Insurance Market Chaos to strengthen insurance regulation and compliance in the motor vehicle insurance market. The notice requires property insurance companies to reinforce internal controls, accurately record commission payments to intermediaries, and prohibits payment of commissions or other fees to unqualified intermediaries or by means that could disguise such payments. In 2018, the CIRC merged with the China Banking Regulatory Commission (“CBRC”) to create the China Banking and Insurance Regulatory Commission (“CBIRC”), which assumed all of CIRC’s insurance regulatory responsibilities.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further strengthen the supervision of auto insurance businesses, rectify market chaos, and safeguard the legitimate rights and interests of auto insurance consumers, CBIRC issued and implemented multiple notices. In January 2019, CBIRC promulgated the “Notice on Further Strengthening Regulation on Auto Insurance” to further regulate auto eInsurance market conducts including, among other things, charging commissions. On September 2, 2020, CBIRC issued the Guiding Opinions on the Implementation of Comprehensive Reform of Auto Insurance, which was implemented on September 19, 2020. The Guiding Opinions set phased goals for insurance companies to “reduce price, increase insurance policy volume, and improve quality,” which significantly reduced premium and commission rates. Any tightening of regulations or administrative measures on insurance premiums or insurance agency commissions could have material adverse impact on the revenue and profitability of our auto eInsurance business, if we are not able to increase our insurance business volume sufficiently to compensate for the reduced revenue generated from auto eInsurance commission, or pass on any downward impact on our commission rates to our external referral sources. In May 2023, the National Financial Regulatory Administration (“NFRA”) was established as the successor to CBIRC and assumed all of CBIRC’s insurance regulatory responsibilities.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NFRA has broad discretion in administering applicable laws, rules and regulations. and the authority to impose regulatory sanctions on us. On September 20, 2023, NFRA issued Measures for the Administration of Insurance Sales Activities (the “New Sales Regulations”), which took effect on March 1, 2024. The New Sales Regulations imposed enhanced conduct obligations on insurance companies and their intermediaries, including our auto eInsurance business. The New Sales Regulations require insurance companies, among other things, to notify policyholders within 30 days of the departure of any insurance salesperson or the termination of cooperation with an insurance intermediary, and to explain the status of the policyholder’s contract and the means of obtaining follow-up services. The New Sales Regulations also explicitly prohibit insurance companies and intermediaries from inducing policyholders to surrender existing policies and impose updated conduct standards on all sales activities. Failure to comply, or failure by our insurance company partners to comply in connection with policies distributed through our platform, could result in regulatory sanctions, fines, or restrictions on our operations, which could materially and adversely affect our business, financial condition and results of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laws, rules and regulations could result in fines, restrictions on business expansion, which could materially and adversely affect our business, results of operations, and financial condition. The regulatory framework governing our operations is subject to change, and there is inherent uncertainty in the interpretation and application of these laws and regulations. As a participant in the PRC auto eInsurance industry, we are subject to periodic or ad hoc examinations, evaluations, and investigations by regulatory authorities, including comprehensive inspections by NFRA of our internal controls and financial and operational compliance. We cannot assure you that we will be able to meet all applicable regulatory requirements and guidelines at all times, or that future legislative or regulatory changes, or the outcome of regulatory inspections, will not result in fines, penalties, or other adverse effects on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of the external referral sources we engaged to promote our auto eInsurance services is difficult to detect and deter and could harm our reputation or lead to regulatory sanctions or litigation costs.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promote insurance products through external sales representatives. In addition, we also engage them to deepen our market penetration and broaden end consumer reach. The activities and regulatory compliance of these sales and marketing forces associated with our auto eInsurance business are subject to the terms of the agreements we entered into with them and subject to applicable PRC laws. Misconduct of any of them could result in violation of law by us, regulatory sanctions, litigation or serious reputation or financial harm. Misconduct could include:</w:t>
      </w:r>
    </w:p>
    <w:p>
      <w:pPr>
        <w:spacing w:after="0" w:line="180"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misrepresentation when marketing or selling insurance to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hindering insurance applicants from making full and accurate mandatory disclosures or inducing applicants to make misrepresentations;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hiding or falsifying material information in relation to insurance contracts;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fabricating or altering insurance contracts without authorization from relevant parties, selling false policies, or providing false documents on behalf of the applicants;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falsifying auto eInsurance business or fraudulently returning insurance policies to obtain commissions;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colluding with applicants, insureds, or beneficiaries to obtain insurance benefits;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false or falsified claims;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not complying with laws and regulations or our control policies, procedures, and undertakings.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24, 2015, the PRC Insurance Law was amended. Subsequently, on February 1, 2018, CBIRC amended the Provisions on the Supervision of Insurance Brokerages and the Provisions on the Supervision of Insurance Claims Adjusting Firms. On November 12, 2020, CBIRC promulgated the Regulatory Provisions on Insurance Agents, effective January 1, 2021, which repealed the Provisions on the Supervision of Professional Insurance Agencies. These amendments have made a number of significant changes to the regulatory regime, including the elimination of the requirement for insurance agents to obtain qualification certificates from CBIRC. The removal of this requirement may result in an increase in misconduct by individuals engaged in promoting insurance products, particularly sales misrepresentation. Although we have set up contractual terms to deter misconduct by external sales representatives and referral sources, these measures may not be effective in all circumstances or may only take effect after a delay. Accordingly, we cannot assure you that misconduct by any of the external sales representatives or our external referral sources will not occur, whether unintentional or otherwise, which could negatively impact our business, results of operations or financial condition. In addition, the general increase in misconduct in the industry could potentially harm the reputation of the industry and have an adverse impact on our business.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Consumers may increasingly decide to purchase insurance directly from insurance companies, which would have a material adverse impact on our financial condition, results of operations and prospects.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Advancement of financial technologies, or FinTech, and the emergence of Internet insurance products allow insurance companies to directly access a broader customer base at lower cost, and consumers may increasingly decide to purchase insurance directly from insurance companies. A rising number of traditional insurance companies have established their own online platforms to sell Internet insurance products directly to consumers. More recently, the advent of a few online-only Internet insurance companies, such as ZhongAn Online P&amp;C Insurance Co., Ltd., is regarded as an emerging force to further disintermediate China’s insurance industry. The process of eliminating agencies as intermediaries, known as “disintermediation,” could place us at a competitive disadvantage and reduce the need for our products and services. Disintermediation could also result in significant decrease in business volume and loss of commission income from our auto eInsurance business, which could have a material adverse effect on our business, financial condition, results of operations and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commission revenue we earn on the sale of insurance products is based on premium and commission rates set by insurance companies, any decrease in these premiums or commission rates, or increase in the referral fees we pay to our external referral sources, may have an adverse effect on our results of operation.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derive a majority of our revenue from our auto eInsurance business by earning commissions from insurance companies we cooperate with. The commissions we receive from insurance companies on the insurance policies sold are generally calculated as a percentage of the insurance premiums paid by the insured. Our revenue and results of operations are thus directly affected by the size of insurance premiums and the commission rates for such policies.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Insurance premiums and commission rates can change based on the prevailing economic, regulatory, taxation-related and competitive factors that affect insurance companies and end consumers. These factors, many of which are not within our control, include insurance companies’ expectations on profits, consumer demand for insurance products in the market, the availability and pricing of comparable products offered by other insurance companies, and the end consumers themselves. In addition, premium rates for certain auto eInsurance products that each automobile owner in the PRC is legally required to purchase, are tightly regulated by the NFRA. As a result, we may experience downward pressure on our commissions from time to time.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other hand, we engage external referral sources in different geographical areas to promote insurance products and pay referral fees to them for referring end consumers to us. We may adjust the rates of referral fees at our discretion, depending on the competitive landscape and market conditions in the respective geographical markets. Accordingly, any increase in such rates would reduce our profit margin.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we do not determine and cannot predict the timing or extent of changes in premium or commission rates, we cannot predict the impact such changes may have on our operations. Any decrease in premiums or commission rates we receive, and/or any increase in the rates of referral fees we pay to our external referral sources, could significantly affect our profitability. In addition, our capital expenditures and other expenditures may be disrupted by unexpected decreases in revenue caused by decreases in premiums or commission rates, thereby adversely affecting our operations and business plans.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insurance business is historically cyclical in nature, and there may be periods with excess underwriting capacity and unfavorable premium rates, which may negatively affect SunCar’s overall revenues. SunCar also plans to further develop new insurance products narrowly tailored to the new trend in the car industry, but there is no guarantee that such innovation will receive positive feedback from the market or bring more revenues to SunCar.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insurance industry has historically been cyclical, and our operating results may fluctuate due to a variety of factors, many of which are beyond our control. These factors include regulatory oversight by NFRA, competition among insurance companies, the frequency and severity of catastrophic events, levels of capacity, adverse litigation trends, regulatory constraints, general economic conditions, and others. The supply of insurance is related to prevailing prices, the level of insured losses, and the level of capital available to the industry that, in turn, may fluctuate in response to changes in rates of return on investments being earned in the insurance industry. As a result, the auto insurance business historically has been a cyclical industry characterized by periods of intense price competition due to excessive underwriting capacity, as well as periods when shortages of capacity increased premium levels. Since the fluctuation of insurance premiums are periodic and are now set at a very low level, we anticipate the auto eInsurance services to be profitable again after such period. However, there is no guarantee that our estimation is correct, or NFRA will raise the set rate if the NFRA does not raise the premium rate, or such a low-level period prolonged, auto eInsurance service business may negatively impact our ability to generate profit and indirectly influence the price of our ordinary shares.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Chinese EV market is experiencing rapid growth, supported by government policies encouraging EV manufacturing and purchases. We plan to partner directly with OEMs for higher margins and develop customized EV insurance products. However, as an insurance intermediary rather than provider, we face a number of challenges, including limited control over product development and launch timelines, potentially expensive development processes, possible commission reductions, regulatory approval uncertainties, and the risk that customer demand may change during development. If our product development efforts fail to yield competitive offerings despite significant resource investment, our business growth and financial results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China’s economic, political and social conditions, as well as regulatory policies, significantly affect the overall economic growth of China, which could reduce the demand for our services, and materially and adversely affect our competitive position.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holding company, and all of our operating entities are incorporated and operated in China. Accordingly, our financial condition and results of operations are subject to economic, political and legal developments in China. China’s economy differs from those of developed countries in a number of respects, including the level of government involvement, stage of development, growth rate, control of foreign exchange and allocation of resources. While China’s economy has experienced significant growth in the past few decades, such growth has been uneven across regions and sectors, and there can be no assurance that it will continue at historical rates. The PRC government has implemented various measures to encourage economic development and guide the allocation of resources. Some of these measures benefit the overall PRC economy but may negatively affect us. For example, our business, financial condition and results of operations may be adversely affected by the following factors:</w:t>
      </w:r>
    </w:p>
    <w:p>
      <w:pPr>
        <w:spacing w:after="0" w:line="189"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in China or any regional market in China;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the economic conditions of the markets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policies and initiatives undertaken by the PRC government;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prevailing market interest rates;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automobile use in China;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higher rate of bankruptcy.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unfavorable financial and economic environments in recent years, including ongoing global financial uncertainties and heightened tension over trade between China and the U.S., have had and may continue to have an adverse impact on investors’ confidence and financial markets in China. Moreover, concerns over capital market volatility, issues of liquidity, inflation, geopolitical issues, the availability and cost of credit and concerns about the rate of unemployment have resulted in adverse market conditions in China, which may materially and adversely affect our business, financial condition and results of operations.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the economic, political and social conditions or the relevant policies of the PRC government, such as changes in laws and regulations (or the interpretation thereof) or restrictive financial measures, could have an adverse effect on the overall economic growth of the PRC, which could subsequently hinder our current or future business, growth strategies,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Chinese or global economy could materially and adversely affect our business and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Chinese economy faces ongoing challenges from both domestic and global factors and continues to experience moderate growth compared to prior decades. Global economic uncertainties, including monetary policy shifts in major economies, geopolitical tensions, and supply chain disruptions affect China’s economic outlook. Current conflicts in the Middle East and Eastern Europe impact global energy markets, which may affect vehicle usage patterns in China and consequently our business. Trade relations between China and other nations, particularly the United States, remain uncertain with potential implications for regulatory policies, tariffs, and business operations. These economic conditions in China respond to both global economic trends and domestic policy changes. Any severe or prolonged economic slowdown, either globally or within China, could materially impact our business performance, operational results, and financial condition.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investments in offshore companies by PRC residents may subject our PRC-resident beneficial owners or our PRC Operating Entities to liability or penalties, limit our ability to inject capital into our PRC Operating Entities or limit the ability of our PRC Operating Entities to increase their registered capital or distribute profits.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an offshore holding company of our PRC subsidiary, SunCar may make loans or make additional capital contributions to our subsidiaries, subject to satisfaction of applicable governmental registration and approval requirements. Any loans we extend to our PRC Operating Entities, which are treated as foreign-invested enterprises under PRC law, cannot exceed the statutory limit and must be registered with the local counterpart of the State Administration of Foreign Exchange (“SAFE”).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which replaces the previous SAFE Circular</w:t>
      </w:r>
    </w:p>
    <w:p>
      <w:pPr>
        <w:jc w:val="both"/>
        <w:ind w:firstLine="8"/>
        <w:spacing w:after="0" w:line="255" w:lineRule="auto"/>
        <w:tabs>
          <w:tab w:leader="none" w:pos="2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material change. Moreover, any subsidiary of such SPV in China is required to urge the PRC resident shareholders to update their registration with the local branch of SAFE to reflect any material change.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or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used our best efforts to notify PRC residents or entities who directly or indirectly hold shares in our Cayman Islands holding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obtain or update any applicable registrations or approvals required by SAFE regulations. Failure by such shareholders or beneficial owners to comply with SAFE regulations, or failure by us to amend the foreign exchange registrations of our PRC Operating Entities, could subject us to fines or legal sanctions, restrict our overseas or cross-border investment activities, and limit our PRC Operating Entities’ ability to make distributions or pay dividends to us or affect our ownership structure, which could adversely affect our business and prospects.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as these foreign exchange and outbound investment related regulations are relatively new and their interpretation and implementation have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with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permissions or approvals on a timely basis, if at all, with respect to future loans to the PRC Operating Entities or future capital contributions by us to our PRC Operating Entities. If we fail to complete such registrations or obtain such permissions or approvals, our ability to fund our PRC operations may be negatively affected, which could materially and adversely affect our liquidity and our ability to fund and expand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interpretation and implementation of the PRC Foreign Investment Law and how it may impact the viability of our current corporate structure, corporate governance and business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15, 2019, the National People’s Congress approved the PRC Foreign Investment Law, which took effect on January 1, 2020 and replaced three existing laws on foreign investments in China, namely, the PRC Equity Joint Venture Law, the PRC Cooperative Joint Venture Law, and the Wholly Foreign-owned Enterprise Law, together with their implementation rules and ancillary regulations. The PRC Foreign Investment Law embodies an expected PRC regulatory trend to rationalize its foreign investment regulatory regime in line with prevailing international practice and the legislative efforts to unify the corporate legal requirements for both foreign and domestic invested enterprises in China. The PRC Foreign Investment Law establishes the basic framework for the access to, and the promotion, protection and administration of foreign investments in view of investment protection and fair competition.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PRC Foreign Investment Law, “foreign investment” refers to investment activities directly or indirectly conducted by one or more natural persons, business entities, or otherwise organizations of a foreign country (collectively, referred to as “foreign investor”) within China, and the investment activities include the following situations: (i) a foreign investor, individually or collectively with other investors, establishes a foreign-invested enterprise within China; (ii) a foreign investor acquires stock shares, equity shares, shares in assets, or other like rights and interests of an enterprise within China; (iii) a foreign investor, individually or collectively with other investors, invests in a new project within China; and (iv) investments in other means as provided by laws, administrative regulations, or the State Council.</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Foreign Investment Law, the State Council will publish or approve to publish the “negative list” for special administrative measures concerning foreign investment. The PRC Foreign Investment Law grants national treatment to foreign-invested entities, or FIEs, except for those FIEs that operate in industries deemed to be either “restricted” or “prohibited” in the “negative list”. On December 28, 2020, the National Development and Reform Commission and the Ministry of Commerce publicly released the Directory of Industries to Encourage Foreign Investment (Encouraged Catalogue) (2020 Edition). On December 27, 2021, the National Development and Reform Commission of China (“NDRC”) and the Ministry of Commerce (“MOFCOM”) jointly issued the Special Administrative Measures for Foreign Investment Access (Negative List) (2021 Edition), and the Special Administrative Measures for Foreign Investment Access in Pilot Free Trade Zones (Negative List) (2021 Edition), effective January 1, 2022. As per these policies, the national negative list of foreign investment access was reduced from 33 to 31, and the negative list of foreign investment access in the FTZ was reduced from 30 to 27. Industries listed in the 2020 Encouraged Catalogue are the encouraged industries. On the other hand, industries listed in the 2021 Negative List are subject to special management measures. For example, establishment of wholly foreign-owned enterprises is generally allowed in industries outside of the 2021 Negative List. Also, foreign investors are not allowed to invest in industries that are expressly prohibited in the 2021 Negative List. The industries that are not expressly prohibited in the Negative List are still subject to government approvals and certain special requirements.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company operating its business in auto service, auto eInsurance service and technology service, which are not included in the 2021 Negative List, SunCar believes its business is not subject to any ownership restrictions. However, in the event the 2021 Negative List is amended in the future to include any of the businesses in which SunCar operates, our ownership structure could be subject to change, to the extent our structure is not granted any “grandfather” protection or permission to maintain our existing ownership structure under prior regulations.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government will also establish a foreign investment information reporting system, under which foreign investors or foreign-invested enterprises are required to submit investment information to the competent commerce authorities through the enterprise registration system and the enterprise credit information publicity system, and a security review system under which foreign investments that affect or may affect national security will be subject to review. Furthermore, the PRC Foreign Investment Law provides that foreign invested enterprises established according to existing laws regulating foreign investment may maintain their existing structure and corporate governance for a period of five years following the implementation of the PRC Foreign Investment Law.</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PRC Foreign Investment Law also provides several protective rules and principles for foreign investors and their investments in the PRC, including, among others, that a foreign investor may freely transfer into or out of China, in RMB or a foreign currency, its contributions, profits, capital gains, income from disposition of assets, royalties of intellectual property rights, indemnity or compensation lawfully acquired, and income from liquidation, among others, within China; local governments shall abide by their commitments to the foreign investors; governments at all levels and their departments shall enact local normative documents concerning foreign investment in compliance with laws and regulations and shall not impair legitimate rights and interests, impose additional obligations onto FIEs, set market access restrictions and exit conditions, or intervene with the normal production and operation activities of FIEs; except for special circumstances, in which case statutory procedures shall be followed and fair and reasonable compensation shall be made in a timely manner, expropriation or requisition of the investment of foreign investors is prohibited; and mandatory technology transfer is prohibited.</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exerts substantial influence over the manner in which we must conduct our business activities. We are currently not required to obtain permission or approval from Chinese authorities to list on U.S exchanges, however, if we were required to obtain permission or approval in the future and were denied permission or approval from Chinese authorities to list on U.S. exchanges, we will not be able to continue listing on U.S. exchange and the value of our ordinary shares may significantly decline or be worthless, which would materially affect the interest of the investors.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Chinese government has exercised and continues to exercise substantial control over virtually every sector of the Chinese economy through regulation and state ownership.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such, our business segments may be subject to various government and regulatory interference in the provinces in which they operate. We could be subject to regulation by various political and regulatory entities, including local and municipal agencies and government subdivisions. We may incur increased costs necessary to comply with existing and newly adopted laws and regulations, or face penalties for any failure to comply. The Chinese government may intervene or influence our operations at any time with little advance notice, which could result in a material change in our operations and in the value of our ordinary shares. Any actions by the Chinese government to exert more oversight and control over transactions conducted overseas and/or foreign investment in China-based issuers could significantly limit or completely hinder our ability to offer or continue to offer securities to investors and cause the value of such securities to significantly decline or be worthless.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it is uncertain when and whether we will be required to obtain permission or approval from the PRC government to list on U.S. exchanges in the future, and even when such permission or approval is obtained, whether it will be denied or rescinded. Although we are currently not required to obtain permission from any of the PRC government to obtain such permission or approval and has not received any denial to list on the U.S. exchange, our operations could be adversely affected, directly or indirectly, by existing or future laws and regulations relating to its business or industry. As a result, our ordinary shares may decline in value dramatically or even become worthless should we become subject to new requirement to obtain permission or approval from the PRC government to list on U.S. exchange in the future.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General Office of the Central Committee of the Communist Party of China and the General Office of the State Council jointly issued the Opinions on Severe and Lawful Crackdown on Illegal Securities Activities, which was available to the public on July 6, 2021.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 As the Opinions were recently issued, official guidance and interpretation of the opinions remain unclear in several respects at this time. Therefore, we cannot assure you that we will remain fully compliant with all new regulatory requirements of these opinions or any future implementation rules on a timely basis, or at all.</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uncertainties regarding the enforcement of laws, and sudden or unexpected changes in laws and regulations in China could adversely affect us and limit the legal protections available to you and us.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Operating Entities were formed under and are governed by the laws of the PRC. The PRC legal system is based on written statutes. Prior court decisions may be cited for reference but have limited precedential value. In 1979, the PRC government began to promulgate a comprehensive system of laws and regulations governing economic matters in general, such as foreign investment, corporate organization and governance, commerce, taxation and trade. As a significant part of our business is conducted in China, our operations are principally governed by PRC laws and regulations. However, since the PRC legal system continues to evolve rapidly, the interpretations of many laws, regulations and rules are not always uniform and enforcement of these laws, regulations and rules involve uncertainties, which may limit legal protections available to us. Uncertainties due to evolving laws and regulations could also impede the ability of a China-based company, such as our company, to obtain or maintain permits or licenses required to conduct business in China. In the absence of required permits or licenses, government authorities could impose material sanctions or penalties on us. In addition, some regulatory requirements issued by certain PRC government authorities may not be consistently applied by other PRC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Furthermore, the PRC legal system is based in part on government policies and internal rules, some of which are not published on a timely basis or at all and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if China adopts more stringent standards with respect to environmental protection or corporate social responsibilities, we may incur increased compliance costs or become subject to additional restrictions in our operations. Intellectual property rights and confidentiality protections in China may also not be as effective as in the United States or other countries. In addition, we cannot predict the effects of future developments in the PRC legal system on our business operations, including the promulgation of new laws, or changes to existing laws or the interpretation or enforcement thereof. These uncertainties could limit the legal protections available to us and our investors, including you. Moreover, any litigation in China may be protracted and result in substantial costs and diversion of our resources and management attention.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our business and may intervene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 variety of laws and regulations in the PRC regarding privacy, data security, cybersecurity, and data protection. We may be liable for improper use or appropriation of personal information.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become subject to evolving PRC laws regarding privacy, data security, cybersecurity, and data protection. The scope, interpretation, and enforcement of these laws are often uncertain and may vary across jurisdictions. We collect and maintain information about our operations, customers, and employees, and protecting this data is critical to our business and required by law. As regulatory focus on data protection intensifies globally, our compliance costs may increase. Any failure to manage these risks or comply with applicable regulations could result in penalties, business disruption, license revocation, and reputational damage, any of which could materially impact our operations and financial results.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Regulatory authorities in China have enhanced data protection and cybersecurity requirements, many of which are subject to change and uncertain interpretation. These laws continue to develop, and the PRC government may adopt further rules, restrictions and clarifications in the future. Moreover, different PRC regulatory bodies, including the Standing Committee of the National People’s Congress (“SCNPC”), the Ministry of Industry and Information Technology (“MIIT”), the Cyberspace Administration of China (“CAC”), the Ministry of Public Security (“MPS”), and the State Administration for Market Regulation (“SAMR”), have enforced data privacy and protection laws and regulations with varying standards and applications. The following are non-exhaustive examples of certain recent PRC regulatory activities in this area:</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10, 2021, SCNPC promulgated the PRC Data Security Law, which took effect on September 1, 2021. The PRC Data Security Law provides data security and privacy obligations on entities and individuals carrying out data processing activities, introduces data classification and hierarchical protection system based on the importance of data, and imposes export restrictions on certain data and information. On August 20, 2021, SCNPC issued the PRC Personal Information Protection Law, which became effective in November 2021, and consolidates the previously scattered rules regarding personal information rights and privacy protection. The PRC Personal Information Protection Law is designed to protect personal information rights and interests, regulate the processing of personal information, and promote the reasonable use of personal information.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14, 2021, the Regulations on the Network Data Security (Draft for Comments), or the Network Data Security Draft Regulations, was proposed by CAC for public comments, which applies to activities relating to the use of networks to carry out data processing activities within the territory of the PRC. The Network Data Security Draft Regulations set out general guidelines, protection of personal information, security of important data, security management of cross-border data transfer, obligations of internet platform operators, supervision and management, and legal liabilities. In accordance with the Network Data Security Draft Regulations, data processors shall apply for a cybersecurity review for the following activities: (i) merger, reorganization or division of internet platform operators that have acquired a large number of data resources related to national security, economic development or public interests to the extent that affects or may affect national security; (ii) listing abroad of data processors which process over one million users’ personal information; (iii) data processors listing in Hong Kong which affects or may affect national security; or (iv) other data processing activities that affect or may affect national security. Besides, data processors that are listed overseas shall carry out an annual data security assessment. The Network Data Security Draft Regulations was formally adopted on August 20, 2024 as Regulations on the Network Data Security Management, which was promulgated on September 24, 2024 and took effect on January 1, 2025.</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28, 2021, CAC, and other twelve PRC regulatory authorities jointly revised and promulgated the Measures for Cyber Security Review, or the New Measures for Cyber Security Review, which came into effect on February 15, 2022, and replace the prior Measures for Cyber Security Review promulgated on April 13, 2020. The New Measures for Cyber Security Review provides that, among others, (i) the purchase of cyber products and services by critical information infrastructure operators and the network platform operators engaging in data processing activities that affects or may affect national security should be subject to the cybersecurity review by the Cybersecurity Review Office, the department which is responsible for the implementation of cybersecurity review under CAC; (ii) network platform operators with personal information data of more than one million users are obliged to apply for a cybersecurity review by the Cybersecurity Review Office before listing abroad; and (iii) relevant governmental authorities in the PRC may initiate cybersecurity review if they determine the relevant network products or services or data processing activities affect or may affect national security. As of the date of this annual report, we have not been involved in any cybersecurity-related investigation or received any cybersecurity-related warning from the PRC government authorities.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7, 2022, CAC promulgated the Measures for the Security Assessment of Cross-Border Transfer of Data, which took effect on September 1, 2022. These measures aim to regulate cross-border transfers of data, requiring, among other things, that data processors that provide data overseas shall apply to CAC for security assessments if: (i) data processors provide important data overseas; (ii) critical information infrastructure operators or data processors processing personal information of more than one million individuals provide personal information to overseas parties; (iii) data processors that have cumulatively provided personal information of 100,000 people or sensitive personal information of 10,000 people to overseas since January 1 of the previous year, provide personal information to overseas parties; or (iv) other scenarios required by CAC to apply for security assessments occur. In addition, these measures require data processors to carry out self-assessments of risks of providing data overseas before applying to CAC for security assessments.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22, 2023, CAC issued the Measures for the Standard Contract for Cross-Border Transfer of Personal Information. If our PRC Operating Entities fail to comply with applicable measures, they may face legal liability under the PRC Personal Information Protection Law, including fines of up to RMB50 million or 5% of annual revenues and may be ordered to suspend related activities or have business licenses revoked. On March 22, 2024, CAC published the Provisions on Promoting and Regulating the Cross-Border Flow of Data (New Provisions), relaxing the existing requirements relating to cross-border data transfers. Prior to the New Provisions, CAC published certain implementation of regulations according to the Data Security Law and the Personal Information Protection Law, which required data controllers to report cross-border transfer cases with CAC. The New Provisions relax and clarify China’s cross-border data transfer rules by raising thresholds for CAC review, providing safe-harbor exemptions for smaller or necessary transfers, limiting the scope of “important data,” and reducing administrative burdens such as reporting frequency and validity periods.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12, 2025, CAC published the Administrative Measures for Personal Information Protection Compliance Audits, which came into effect on May 1, 2025. According to such measures, the term “compliance audit of personal information protection” refers to the supervisor activities that review and evaluate whether the personal information processing activities performed by personal information processors comply with laws and administrative regulations. Personal information processors that process personal information of more than 10 million individuals shall carry out a compliance audit of personal information protection at least once every two years.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remains uncertain how existing regulatory measures will be interpreted or implemented in the future, and whether PRC government authorities may adopt new laws or regulations that impose additional restrictions on companies like us. If new rules are introduced mandating China-based companies listed on a U.S. stock exchange, such as us, to conduct cybersecurity review or obtain additional approvals, we face uncertainties as to whether such clearance or approvals can be obtained in a timely manner, or at all. Failure to comply with cybersecurity and data privacy requirements could expose us to government enforcement actions, fines, penalties, or suspension of operations, which could materially and adversely affect our business and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data privacy laws in China are relatively new with evolving interpretations. The Cybersecurity Review Measures and the enacted Network Data Security Regulations, which became effective on January 1, 2025, impose ongoing compliance obligations and create uncertainty for U.S.-listed companies like us. These regulations require, among other things, annual risk assessments for important data processors and compliance with expanded cross-border data transfer rules. If these regulations require additional cybersecurity reviews or specific compliance actions, we may face challenges completing these procedures in a timely manner, potentially subjecting us to enforcement actions, penalties, operational disruptions, or app removal. Compliance with existing and future PRC cybersecurity regulations may increase our expenses and damage our reputation if not managed properly. Given the evolving regulatory landscape, we cannot guarantee full compliance at all times or that our current protection systems will be deemed sufficient. Non-compliance could result in warnings, fines, investigations, license revocations, website closures, app removals, securities price drops, or even criminal liability.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30, 2024, the State Council published the Regulations on Network Data Security Management, or the Network Data Security Regulations, which took effective on January 1, 2025, finalizing a regulatory process that began with an initial draft in November 2021. The Network Data Security Regulations provide implementing rules for the Cybersecurity Law, Data Security Law, and Personal Information Protection Law, and apply broadly to all network data processing activities. Key obligations relevant to our business include: (i) network data processors handling “important data” are required to conduct an annual risk assessment of their network data processing activities and submit a report to the relevant provincial regulatory authority; (ii) data is classified as “important data” only if included in an officially published important data catalogue or explicitly designated as such by regulators – absent such notification, businesses may assume they do not handle important data; and (iii) cross-border data transfer rules were updated to provide additional lawful bases, consistent with CAC’s March 2024 Provisions on Regulating and Promoting Cross-Border Data Flows. Our PRC Operating Entities are now required to comply with these enacted regulations. If any of our data processing activities are determined to involve important data, annual assessment obligations will increase our compliance costs and we cannot guarantee that our PRC Operating Entities will be able to meet all applicable requirements in a timely manner, which may subject them to fines or penalties.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late 2025, CAC and other PRC regulatory authorities released several additional draft regulations for public comments, including Draft Provisions on Personal Information Protection for Large Online Platforms (released for comments on November 22, 2025), Draft Measures for Cyberspace Supervision and Inspection by Public Security Authorities (released for comment on November 29, 2025), and Draft Measures for Network Data Security Risk Assessment (released for comments on December 6, 2025). If finalized, these measures could impose additional obligations on platforms meeting certain user-scale thresholds, expand public security authority inspection powers over network operators, and introduce more detailed risk assessment procedures. We cannot predict the timing or final content of these regulations, and compliance with any such requirements may increase our costs or require modifications to our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Report, our PRC Operating Entities have obtained all requisite permissions and approvals required for our operations under the relevant PRC laws and regulations in the PRC. In the event that the applicable laws, regulations or interpretations change such that we become subject to any mandatory cybersecurity review and other specific actions required by CAC, we cannot guarantee whether we can complete the process in a timely manner, or at all. If we inadvertently conclude that such permissions or approvals are not required, fail to obtain and maintain such permissions, approvals, licenses, or permits necessary for our business, or fail to respond appropriately to changes in the regulatory environment, we could be subject to liabilities, penalties and operational disruption. Such outcomes may materially and adversely affect our business, operating results, financial condition, and the value of our ordinary shares, significantly limit or completely hinder our ability to offer or continue to offer securities to investors, or cause such securities to significantly decline in value or become worthless.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artificial intelligence services may impose additional compliance obligations on our operations and limit our ability to deploy AI technologies, which could adversely affect our business.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integrated artificial intelligence and generative AI technologies into our business operations, including our auto eInsurance distribution platform, customer engagement systems, policy renewal tools, and SaaS solutions for OEM and enterprise customers. The regulatory framework governing AI in China is evolving rapidly and remains subject to substantial uncertainty.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August 15, 2023, CAC and other PRC agencies promulgated the Measures for the Administration of Generative Artificial Intelligence Services (the “GenAI Measures”), which regulate providers of generative AI services to the public in China. The GenAI Measures impose obligations relating to content safety and legality, algorithmic transparency, data governance and security, labeling of AI-generated content, and user registration requirements. Providers of generative AI services must complete filings with CAC before offering services to the public in China. Separately, the PRC authorities have issued or are developing additional regulations and standards governing AI applications in financial services, automated decision-making affecting consumers, and AI model training data. Scholars and experts in China have proposed comprehensive AI legislation outside the existing legal framework. On March 19, 2024, seven universities released the Artificial Intelligence Law (Scholar’s Draft), and on April 16, 2024, institutions including the Law Institute of the Chinese Academy of Social Sciences released the Artificial Intelligence Model Law 2.0 (Expert Draft). Both drafts introduce AI ethics requirements, including establishing AI ethics review committees for research and development involving sensitive areas and conducting ethics reviews under national regulations, while encouraging other AI developers and users to implement similar review mechanisms.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be subject to these regulations if our AI deployments are deemed to constitute “generative AI services” as defined under the GenAI Measures, or if our AI-driven insurance recommendation, claims processing, or customer engagement tools are deemed to fall within the scope of AI regulations applicable to financial services. We cannot predict how PRC authorities will interpret or enforce the GenAI Measures or any future AI regulations with respect to our specific use cases. If we are required to obtain approvals, complete regulatory filings, or modify our AI systems to comply with applicable requirements, our ability to develop and deploy AI technologies could be delayed, limited, or made more costly. Non-compliance could result in content removal orders, service suspension, fines, or other regulatory penalties. In addition, if our AI applications rely on third-party models or platforms (such as those provided by ByteDance or other PRC technology companies), those third parties’ own regulatory compliance status could affect our operations.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PRC AI regulation continues to develop, the compliance obligations and restrictions applicable to our business could increase substantially, which could adversely affect our ability to compete effectively, expand our AI capabilities, and realize the anticipated benefits of our technology investments. Any such outcome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may make it more difficult for us to pursue growth through acquisitions.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PRC regulatory agencies in 2006 and amended in 2009, and some other regulations and rules concerning mergers and acquisitions established complex procedures and requirements for some acquisitions of Chinese companies by foreign investors, including requirements in some instances that the Ministry of Commerce of the PRC (“MOFCOM”), be notified in advance of any change-of-control transaction in which a foreign investor takes control of a PRC domestic enterprise. Moreover, the Anti-Monopoly Law promulgated by the Standing Committee of the PRC National People’s Congress, which became effective in 2008, requires that transactions which are deemed concentrations and involve parties with specified turnover thresholds must be cleared by MOFCOM before they can be completed. In addition, the security review rules issued by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the rules prohibit any activities attempting to bypass a security review, including by structuring the transaction through a proxy or contractual control arrangement. On December 19, 2020, the Measures for the Security Review for Foreign Investment was jointly issued by National Development and Reform Commission (“NDRC”) and MOFCOM and took effect from January 18, 2021. The Measures for the Security Review for Foreign Investment specified provisions concerning the security review mechanism on foreign investment, including the types of investments subject to review, review scopes and procedures, among others.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future, we may pursue potential strategic acquisitions that are complementary to our business and operations. Complying with the requirements of the above-mentioned regulations and other relevant rules to complete such transactions could be time-consuming, and any required approval processes, including obtaining approval or clearance from MOFCOM or its local counterparts or other relevant governmental authorities, may delay or inhibit our ability to complete such transactions, which could affect our ability to expand our business or maintain our market share.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permission or approval of, or filing to, the China Securities Regulatory Commission may be required in future offerings or financings, and, if required, we cannot predict whether we will be able to obtain such permission or approval, or timely clear the filing requirements.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M&amp;A Rules require overseas special purpose vehicles controlled by PRC companies or individuals formed for the purpose of seeking a public listing on an overseas stock exchange through acquisitions of PRC domestic interests using shares of such special purpose vehicles or held by its shareholders as considerations to obtain the permission or approval of the China Securities Regulatory Commission, or the CSRC, prior to the listing and trading of such special purpose vehicle’s securities on an overseas stock exchange. Based on our understanding of current PRC laws and regulations, our legal department believes that our corporate structure and arrangements are not currently subject to CSRC approval under the M&amp;A Rules, because Haiyan Trading was incorporated as a wholly foreign owned enterprise which is mainly controlled by an HK individual. However, there remains uncertainty as to how the M&amp;A Rules will be interpreted or implemented in the context of an overseas offering and listing the potential impact such modified or new laws and regulations will have on the daily business operation of the PRC Operating Entities. We cannot assure that relevant PRC government agencies, including the CSRC, would reach the same conclusion as we do. The PRC regulatory authorities may in the future promulgate laws, regulations or implementing rules that requires us and our subsidiaries, including the PRC Operating Entities, to obtain regulatory permission or approval from Chinese authorities to continue listing in the U.S. If it is determined that CSRC permission or approval is required for the continuous listing on Nasdaq, we may face sanctions by the CSRC or other PRC regulatory agencies for failure to obtain or delay in obtaining CSRC permission or approval. These sanctions may include fines and penalties on our operations in China, limitations on our operating privileges in China, restrictions on or prohibition of the payments or remittance of dividends by our subsidiaries in China, or other actions that could have a material and adverse effect on our business, financial condition, results of operations, reputation and prospects, as well as the trading price of our ordinary shares. In addition, if the CSRC or other regulatory agencies later promulgate new rules or explanations requiring that we obtain their permissions or approvals for the continuous listing on the Nasdaq, we may be unable to obtain a waiver of such permission or approval requirements, if and when procedures are established to obtain such a waiver.</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17, 2023, the CSRC promulgated the Provisional Measures on the Administration of Overseas Securities Offering and Listing by Domestic Companies (the “Provisional Measures”), which took effect on March 31, 2023. Under the Provisional Measures, domestic companies seeking to offer or list securities overseas, directly or indirectly, are required to fulfill filing procedures with the CSRC, comply with state security regulations, and appoint a responsible entity in China to handle filings. Following an initial public offering or issuance of new securities overseas, the relevant Chinese entity must file with the CSRC within three business days, and companies must also report certain events, including changes of control, investigations by overseas regulators, changes of listing status, delisting, or material business changes, within three business days. The CSRC clarified that companies listed overseas before March 31, 2023 are not required to file for prior offerings, but future capital-raising activities remain subject to these filing requirements. As of the date of this Report, we and our PRC Operating Entities have not been required to obtain permission from or complete filings with the CSRC; however, any future offshore offerings may be subject to these filing obligations.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Failure to complete filing procedures as required under the Provisional Measures would subject us to sanctions by the CSRC or other PRC regulatory authorities, including fines and penalties on our PRC Operating Entities, which could materially affect our business, financial condition, and results of operations. If a Chinese entity violates these measures, it and its controlling shareholders, actual controllers, directors, supervisors, and senior executives may face administrative penalties, including warnings and fines of up to RMB10 million, with directly responsible persons facing fines between RMB500,000 and RMB5 million. Controlling shareholders or actual controllers who organize such a breach may be fined between RMB1 million and RMB10 million.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were not required to file with the CSRC under the Provisional Measures in connection with our initial Nasdaq listing, having completed the Business Combination prior to the Provisional Measures’ effective date. We and our PRC Operating Entities will be required to comply with the applicable filing obligations for any future capital-raising activities. There is no assurance that we will be able to meet all applicable filing requirements and timelines, and any failure to timely file, or any rescission of a prior filing, could subject us and, if responsible, our controlling shareholders and advisors, to sanctions described above. Lastly, any actions by the Chinese government to exert greater oversight and control over overseas transaction could significantly limit or prevent our ability to maintain our Nasdaq listing and cause the value of our securities to significantly decline or become worthless.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24, 2023, the CSRC, Ministry of Finance of the PRC, National Administration of State Secrets Protection and National Archives Administration of China promulgated the Provisions on Strengthening the Confidentiality and Archives Administration Related to the Overseas Securities Offering and Listing by Domestic Enterprises, or the Archives Rules, which took effect on March 31, 2023. These rules require companies involved in overseas securities offerings to establish confidentiality systems, protect sensitive information, and retain working papers within China. These provisions apply to all securities listings by PRC enterprises, including our previous Business Combination and any future offerings. Working papers, which generally include due diligence materials and other business records, must remain in China unless special approval is obtained from authorities. Although we have implemented measures to comply with these requirements and believe our operations do not involve sensitive information, the rules are newly introduced and remain subject to interpretation. Any failure to comply could result in fines or other regulatory penalties.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the understanding of Company’s legal department, neither we nor any of our subsidiaries, including all the PRC Operating Entities are currently required to obtain any permissions or approvals from Chinese authorities, including the CSRC or the CAC, to list on U.S exchanges or issue securities to foreign investors. We have not been denied any permissions or approvals either as of the date of this Report. However, if we were required to obtain any requisite permissions or approvals in the future and were denied permission or approval from Chinese authorities to list on U.S. exchanges, we will not be able to continue listing on U.S. exchange, which would materially affect the interest of the investors. It is uncertain when and whether we will be required to obtain any requisite permissions or approvals from the PRC government to list on U.S. exchanges in the future, and even when such permission or approval is obtained, whether it will be denied or rescinded. Although we are currently not required to obtain permission or approval from any of the PRC government and has not received any denial to list on the U.S. exchange, our operations could be adversely affected, directly or indirectly, by existing or future laws and regulations relating to its business or industry.</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conducted in RMB and the price of our ordinary shares is quoted in U.S. dollars, changes in currency conversion rates and the PRC government’s control over foreign currency conversion may affect the value of your investments and limit our foreign exchange transactions, including dividend payments to holders. Any significant revaluation of the RMB may materially and adversely affect our cash flows, revenue and financial condition. Changes in the conversion rate between the U.S. dollar and the RMB will affect the amount of proceeds we will have available for our business.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conducted in the PRC, our books and records are maintained in RMB, which is the only lawful currency of the PRC, and the financial statements that we file with the SEC and provide to our shareholders are presented in U.S. dollars. Any changes in the exchange rate between the RMB and the U.S. dollar may affect the value of our assets and the results of our operations in U.S. dollars. The value of the RMB against the U.S. dollar and other currencies may fluctuate and is affected by, among other things, changes in the PRC’s political and economic conditions and perceived changes in the economy of the PRC and the United States. Any significant revaluation of the RMB may materially and adversely affect our cash flows, revenue and financial condition. Further, our ordinary shares offered by this Report are offered in U.S. dollars, we will need to convert the net proceeds we receive into RMB in order to use the funds for our business. Changes in the conversion rate between the U.S. dollars and the RMB will affect that amount of proceeds we will have available for our business.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significant depreciation of the RMB against the U.S. dollar may significantly reduce the U.S. dollar equivalent of our earnings, which in turn could adversely affect the price of our ordinary shares, and if we decide to convert RMB into U.S. dollars for the purpose of making dividend payments on our ordinary shares, strategic acquisitions or investments or other business purposes, appreciation of the U.S. dollar against the RMB would have a negative effect on the U.S. dollar amount available to us.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Hedging options in China to mitigate exchange rate risk are very limited. To date, we have not entered into any hedging transactions in an effort to reduce our exposure to foreign currency exchange risk. While we may decide to enter into hedging transactions in the future, the availability and effectiveness of these options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 There remains significant international pressure on the Chinese government to adopt a flexible currency policy to allow the RMB to appreciate against the U.S. dollar. Significant revaluation of the RMB may have a material and adverse effect on your investment. Substantially all of our revenues and costs are denominated in RMB. Any significant revaluation of RMB may materially and adversely affect our revenues, earnings and financial position, and the value of, and any dividends payable on, our ordinary shares in U.S. dollars.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PRC government imposes controls on the convertibility of RMB into foreign currencies. Under the current PRC foreign exchange control system, foreign exchange transactions under the current account conducted by us, including the payment of dividends, do not require advance approval from SAFE but are subject to certain procedural requirements and mut be conducted through designated foreign exchange banks within the PRC that have the requisite licenses to carry out foreign exchange business. Foreign exchange transactions under the capital account conducted by us must receive prior approval by SAFE. We will be able to pay dividends in foreign currencies without prior permission or approval from SAFE by complying with certain procedural requirements. However, we cannot assure you that these foreign exchange policies relating to the payment of dividends in foreign currencies will continue in the future. In addition, due to restrictions imposed by government foreign exchange regulations and potential shortages of foreign exchange, any insufficiency of available foreign currency may limit our ability to obtain sufficient foreign exchange for dividend payments to holders of our ordinary shares or to meet other foreign currency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China.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Shareholder claims or regulatory investigations that are common in the United States generally are difficult to pursue as a matter of law or practicality in China. For example, in China, there are significant legal and other obstacles in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a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or implementation of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SunCar is classified as a PRC resident enterprise for PRC income tax purposes, such classification could result in unfavorable tax consequences to us and our non-PRC shareholders and ordinary shareholders.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or SAT, issued the Circular of the State Administration of Taxation on Issues Relating to Identification of PRC-Controlled Overseas Registered Enterprises as Resident Enterprises in Accordance with the De Facto Standards of Organizational Management, or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permission or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SunCar is a PRC resident enterprise for enterprise income tax purposes, we could be subject to PRC tax at a rate of 25% on our worldwide income, which could materially reduce our net income, and we may be required to withhold a 10% withholding tax from dividends we pay to our shareholders that are non-resident enterprises, including the holders of our ordinary shares. In addition, non-resident enterprise shareholders (including our ordinary shareholders) may be subject to PRC tax at a rate of 10% on gains realized on the sale or other disposition of ordinary shares, if such income is treated as sourced from within China. Furthermore, if we are deemed a PRC resident enterprise, dividends payable to our non-PRC individual shareholders (including our ordinary shareholders) and any gain realized on the transfer of ordinary shares by such shareholders may be subject to PRC tax at a rate of 20% (and such PRC tax may be withheld at source in the case of dividends). Any PRC income tax liability may be reduced under applicable tax treaties. However, it is unclear whether in practice non-PRC shareholders of SunCar would be able to obtain the benefits of any tax treaties between their country of tax residence and the PRC in the event that we are treated as a PRC resident enterprise. Any such tax may reduce the return on your investment in ordinary shares.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any preferential tax treatments or the discontinuation, reduction or delay of any of the preferential tax treatments that may be available to us in the future could materially and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2008, the PRC Enterprise Income Tax Law (“EIT Law”) took effect, which was last amended by SCNPC on December 29, 2018, provides that companies are subject to a unified income tax rate of 25%. Various favorable income tax rates are, however, available to qualified enterprises in certain encouraged sectors of the economy. Enterprises qualified as “new high-tech enterprise” are entitled to a preferential tax rate of 15%. Accreditation of the “new high-tech enterprise” status is valid for three years. Shengshi Dalian Automobile and Shanghai Chengle Network Technology Co., Limited, both key subsidiaries of SunCar, have each maintained qualification as a “new high-tech enterprise,” which entitles them to a preferential corporate income tax rate of 15%. Each subsidiary most recently renewed this qualification in December 2024, and the qualification is effective for an additional three-year period through December 2027.</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Qualification as a “new high-tech enterprise” is subject to review by relevant authorities in China every three years, and we cannot assure you that we will be able to continue to qualify for preferential tax treatment. For illustration purposes only, the tax benefit we had as a result of such preferential tax treatment, calculated as the difference between our actual income tax expenses and the amount of tax expenses we would have incurred had we not been entitled to the reduced corporate tax rate during the same period. In the unlikely event of a failure to renew the “new high-tech enterprise” status after its expiration, we will be subject to the unified corporate income tax rate of 25% starting from the year of expiration and will thus incur increased income tax, which may have a material adverse effect on our net income and results of operations.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indirect transfers of equity interests in PRC resident enterprises by their non-PRC holding companies.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uncertainties regarding the reporting on and consequences of previous private equity financing transactions involving the transfer and exchange of shares in our company by non-resident investors. In February 2015, the State Administration of Taxation (“SAT”) issued the Bulletin on Issues of Enterprise Income Tax on Indirect Transfers of Assets by Non PRC Resident Enterprises, or Bulletin 7. Pursuant to Bulletin 7, an “indirect transfer” of PRC assets, including a transfer of equity interests in an unlisted non-PRC holding company of a PRC resident enterprise, by non-PRC resident enterprises may be re-characterized and treated as a direct transfer of the underlying PRC assets, if such arrangement does not have a reasonable commercial purpose and was established for the purpose of avoiding payment of PRC enterprise income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Bulletin 7 also introduced safe harbors for internal group restructurings and the purchase and sale of equity securities through a public securities market. On October 17, 2017, the SAT issued the Announcement of the State Administration of Taxation on Issues Concerning the Withholding of Non-resident Enterprise Income Tax at Source, or Bulletin 37, which came into effect on December 1, 2017. Bulletin 37 further clarifies the practice and procedure of the withholding of nonresident enterprise income tax.</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Operating Entities to assist in the filing. As a result, we and non-resident enterprises in such transactions may become at risk of being subject to filing obligations or being taxed under Bulletin 7 and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may delay us from using the proceeds of future offerings to make loans or additional capital contributions to our PRC Operating Entities, which could materially and adversely affect our liquidity and our ability to fund and expand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funds we transfer to and from the PRC Operating Entities, either as a shareholder loan or as an increase in registered capital or dividend distributions, are subject to permission or approval by or registration with relevant governmental authorities in China. According to the relevant PRC regulations on foreign invested enterprises in China, capital contributions to our PRC Operating Entities are subject to the registration with the State Administration for Market Regulation or its local counterpart and registration with a local bank authorized by SAFE. In addition, (i) any foreign loan procured by our PRC Operating Entities is required to be registered with SAFE or its local branches and (ii) any of our PRC Operating Entities may not procure loans which exceed the difference between its total investment amount and registered capital or, as an alternative, only procure loans subject to the calculation approach and limitation as provided by the People’s Bank of China. Additionally, any medium or long-term loans to be provided by us to the PRC Operating Entities must be registered with the National Development and Reform Commission and SAFE or its local branches. We may not be able to obtain these government permissions or approvals or complete such registrations in a timely manner, or at all, with respect to future capital contributions or loans by us to our PRC Operating Entities. If we fail to receive such permissions or approvals or complete such registration or filing, our ability to use the proceeds of future offerings to capitalize our PRC operations may be negatively affected, which could adversely affect our liquidity and our ability to fund and expand our business.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PRC government imposes controls on the convertibility of RMB into foreign currencies and, in certain cases, the remittance of currency out of China. The majority of the SunCar subsidiaries’ income is received in RMB and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permission or approval from SAFE in the PRC as long as certain procedural requirements are met. However, permission or approval from appropriate government authorities is required if RMB is converted into foreign currency and remitted out of China to pay capital expenses such as the repayment of loans denominated in foreign currencies. To the extent cash in the business is in the PRC/Hong Kong or a PRC/Hong Kong entity, the funds may not be available to fund operations or for other use outside of the PRC/Hong Kong due to interventions in or the imposition of restrictions and limitations on the ability of SunCar or SunCar’s subsidiaries, by the PRC government to transfer cash. The PRC government may, at its discretion, impose restrictions on access to foreign currencies for current account transactions and if this occurs in the future, we may not be able to pay dividends in foreign currencies to our shareholders, including U.S. investors.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fully comply with PRC labor-related laws may expose us to potential penalties.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 sponsored employee benefit plans, including social insurance, housing funds, and other welfare-oriented payment obligations, and to contribute amounts equal to certain percentages of salaries, including bonuses and allowances, of our employees up to a maximum amount specified by the local government from time to time at locations where we operate our businesses. Implementation of these requirements has not been consistent across China due to differing levels of regional economic development. We have been paying and will continue to pay social security and housing fund contributions in strict compliance with the relevant PRC regulations for and on behalf of our employees. However, we may be subject to penalties for our failure to make payments in accordance with the applicable PRC laws and regulations should any regulations change in the future, in which case, we may be required to make up the contributions for these plans as well as to pay late fees and fines. If we are subject to fines in relation to the underpaid employee benefits, our financial condition and results of operations may be adversely affected.</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Holding Foreign Companies Accountable Act, or the HFCAA, and the related regulations are evolving quickly. Further implementations and interpretations of our amendments to the HFCAA or the related regulations, or a PCAOB’s determination of its lack of sufficient access to inspect our auditor, might pose regulatory risks to and impose restrictions on us because of our operations in mainland China that PCAOB may not be able to inspect or investigate completely such audit documentation and, as such, you may be deprived of the benefits of such inspection and our ordinary share could be delisted from the stock exchange pursuant to the HFCAA.</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20, 2020, the U.S. Senate passed the Holding Foreign Companies Accountable Act (the “HFCAA”)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securities exchange or in the over-the-counter trading market in the U.S. On December 18, 2020, the HFCAA was signed into law.</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24, 2021, the SEC announced that it had adopted interim final amendments to implement congressionally mandated submission and disclosure requirements of the Act.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22, 2021, the U.S. Senate passed the Accelerating Holding Foreign Companies Accountable Act (“AHFCAA”), which reduced the period for foreign companies to comply with PCAOB audits from three to two consecutive years. On December 29, 2022, the Consolidated Appropriations Act, 2023 was signed into law, which officially reduced the number of consecutive non-inspection years required for triggering the prohibitions under the HFCAA from three years to two.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16, 2021, PCAOB announced HFCAA determinations relating to its inability to inspect or investigate completely registered public accounting firms headquartered in mainland China or Hong Kong because of positions taken by authorities in the PRC or Hong Kong. The inability of the PCAOB to conduct inspections of auditors in China made it more difficult to evaluate the effectiveness of these accounting firms’ audit procedures compared to auditors subject to PCAOB inspections.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China Securities Regulatory Commission and the Ministry of Finance of the People’s Republic of China. On December 15, 2022, the PCAOB announced in its 2022 HFCAA Determination Report that it was able to secure complete access to inspect and investigate audit firms in the PRC, and vacated previous determinations to the contrary. The PCAOB may reassess its determinations and issue new determinations consistent with the HFCAA at any time.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15, 2022, the PCAOB announced in its 2022 HFCAA Determination Report (the “2022 Report”) its determination that the PCAOB was able to secure complete access to inspect and investigate audit firms in the PRC, and the PCAOB Board voted to vacate previous determinations to the contrary. According to the 2022 Report, this determination was reached after the PCAOB had thoroughly tested compliance with every aspect of the Protocol necessary to determine complete access, including on-site inspections and investigations in a manner fully consistent with the PCAOB’s methodology and approach in the U.S. and globally. According to the 2022 Report, the PRC Authorities had fully assisted and cooperated with the PCAOB in carrying out the inspections and investigations according to the Protocol and have agreed to continue to assist the PCAOB’s investigations and inspections in the future. As required by the HFCAA, if in the future the PCAOB determines it no longer can inspect or investigate completely because of a position taken by any foreign authority, including but is not limited to mainland China relevant authority, the PCAOB will act expeditiously to consider whether it should issue a new determination.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previous auditor, Marcum Asia CPAs LLP (formerly, Marcum Bernstein &amp; Pinchuk LLP) (“Marcum Asia”), and our current auditor, Enrome LLP (“Enrome”), the only independent registered public accounting firm that issues an audit report included elsewhere in this Report, as auditors of companies that are traded publicly in the United States and firms registered with the PCAOB, are both subject to laws in the United States pursuant to which the PCAOB conducts regular inspections to assess the auditors’ compliance with the applicable professional standards. Marcum Asia is headquartered in Manhattan, New York, and is subject to inspection by the PCAOB on a regular basis with the last inspection in 2020. Enrome is headquartered in Singapore, Singapore, and is subject to inspection by the PCAOB on a regular basis and can be inspected by PCAOB. As of the date of this Report, neither of previous nor current auditors are among the firms listed on the PCAOB Determination List issued in December 2021, the latest list publicly available.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Such recent developments would add uncertainties to our offering and we cannot assure you whether the SEC, the PCAOB, Nasdaq, or other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It remains unclear what further actions the SEC, the PCAOB or Nasdaq will take to address these issues and what impact those actions will have on U.S. companies that have significant operations in the PRC and have securities listed on a U.S. stock exchange (including a national securities exchange or over-the-counter stock market). In addition, any additional actions, proceedings, or new rules resulting from these efforts to increase U.S. regulatory access to audit information could create some uncertainty for investors, the market price of our ordinary shares could be adversely affected, and we could be delisted if we and our auditor are unable to meet the PCAOB inspection requirement or being required to engage a new audit firm, which would require significant expense and management time. If trading in our ordinary shares is prohibited under the CAA in the future because the PCAOB determines that it cannot inspect or fully investigate our auditor at such future time, Nasdaq may determine to delist our ordinary shares. If our ordinary shares are unable to be listed on another securities exchange by then, such a delisting would substantially impair your ability to sell or purchase our ordinary shares when you wish to do so, and the risk and uncertainty associated with a potential delisting would have a negative impact on the price of our ordinary shares.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 in international trade, particularly with regard to U.S. and China trade policies, may adversely impact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cross-border business may not be an area of our focus, if we plan to expand our business internationally in the future, any unfavorable government policies on international trade, such as capital controls or tariffs, may affect the demand for our services, impact our competitive position, or prevent us from being able to conduct business in certain countries. Rising international political tensions and disruptions in the financial markets and global economic conditions may adversely affect our business, operating results, and the value of our securities. If any new tariffs, legislation, or regulations are implemented, or if existing trade agreements are renegotiated, such changes could adversely affect our business, financial condition, and results of operations.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have been heightened tensions in international economic relations, such as the one between the United States and China. Political tensions between the United States and China have escalated in recent years due to, among other factors, the trade war between the two countries that began in 2018, the imposition of U.S. sanctions on certain Chinese officials from China’s central government and the Hong Kong Special Administrative Region, the inclusion of Chinese entities and individuals on sanctions and other restrictive lists, the recently announced investment restrictions by the U.S. government, and the imposition of sanctions, export, and import restrictions by the Chinese government on certain U.S. persons. Following mutual retaliatory actions for months, on January 15, 2020, the United States and China entered into the Economic and Trade Agreement Between the United States of America and the People’s Republic of China as a phase one trade deal, effective on February 14, 2020.</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the global economic environment has faced significant volatility in recent years, exacerbated by financial crises and various other economic challenges. Economic downturns, particularly the severe downturns in global credit markets and financial instability, can have a dramatic impact on our business. Governments around the world have taken unprecedented actions to stabilize financial markets, but if these actions are not successful, a return to adverse economic conditions could have a significant impact on our ability to raise capital, if needed, on a timely basis, on acceptable terms, or at all. Although the direct impact of the current international trade tension, and any escalation of such tension, on the industries in which we operate is uncertain, the negative impact on general, economic, political and social conditions may adversely impact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SunCar’s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dividends is subject to restrictions under PRC laws. There is no assurance whether and when we will pay dividends.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26, 2021, Shengshi Dalian Insurance Agency Co., Ltd. (“SUNCAR Online”), one of SunCar’s majority-owned subsidiary listed on the National Equities Exchange and Quotations Co., Ltd. (the “NEEQ”) declared and paid dividend of US$15,859,000, among which US$6,620,000 was paid to non-controlling shareholders of SUNCAR Online. The remaining dividends were paid to 100% owned subsidiaries of SunCar.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applicable PRC laws, dividends may be paid only out of distributable profits. Distributable profits mean, as determined under PRC GAAP or U.S. GAAP, whichever is lower, our net profits for a period, plus the distributable profits or net of the accumulated losses, if any, at the beginning of such period, less appropriations to transaction risk reserve, statutory surplus reserve (determined under PRC GAAP) and discretionary surplus reserve (as approved by our shareholders’ meeting). As a result, we may not have sufficient profit to enable us to make future dividend distributions to our shareholders, even if one of our financial statements prepared in accordance with PRC GAAP or U.S. GAAP indicates that our operations have been profitable. We may distribute dividends in the form of cash or by other means permitted by our Articles of Association. Any proposed distribution of dividends shall be formulated by our Board and will be subject to approval of our Shareholders. A decision to declare or to pay any dividends in the future, and the amount of any dividend, will depend upon a number of factors, including our earnings and financial condition, operating requirements, capital requirements, business prospects, statutory, regulatory and contractual restrictions on our declaration and payment of dividends, and any other factors that our Directors may consider important. Any history dividends distribution cannot be regarded as any form of indication of either the amount or the time we will distribute dividends. We cannot assure you that our dividend policies will not change in the future.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SunCar is a holding company and will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ordinary shares.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SunCar is a holding company and conduct substantially all of our business in China through our PRC Operating Entities. We may rely on dividends to be paid by our PRC Operating Entities to fund our cash and financing requirements, including the funds necessary to pay dividends and other cash distributions to our shareholders, to service any debt we may incur and to pay our operating expenses. If our PRC Operating Entities incur debt on their own behalf in the future, the instruments governing the debt may restrict their ability to pay dividends or make other distributions to us, and in turn affect our ability to pay dividends to our investors.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PRC laws and regulations, our PRC Operating Entities may pay dividends only out of their accumulated profits as determined in accordance with PRC accounting standards and regulations. In addition, our subsidiaries in China are required to set aside at least 10% of its after-tax profits each year, if any, to fund a statutory reserve until such reserve reaches 50% of its registered capital. Each of the entities in China is also required to further set aside a portion of its after-tax profits to fund the employee welfare fund, although the amount to be set aside, if any, is determined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 If our PRC Operating Entities cannot generate enough revenue in the future, their ability to pay dividends or make other distributions to us may be restricted, and in turn affect our ability to pay dividends to our investors.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PRC Operating Entities generate primarily all of their revenue in RMB, which is not freely convertible into other currencies. As a result, any restriction on currency exchange may limit the ability of our PRC Operating Entities to use their RMB revenues to pay dividends to us. The PRC government may continue to strengthen its capital controls, and more restrictions and substantial vetting process may be put forward by SAFE for cross-border transactions falling under both the current account and the capital account. Any limitation on the ability of our PRC Operating Entities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EIT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Operating Entities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the Class A Ordinary Share for the foreseeable future, you may not receive any return on investment unless you sell your Class A Ordinary Share for a price greater than that which you paid for it.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our Class A Ordinary Share will be at the sole discretion of SunCar’s board of directors. In making such determinations, the board of directors may take into account general and economic conditions, our financial condition and results of operations, available cash and current and anticipated cash needs, capital requirements, contractual, legal, tax, and regulatory restrictions, as well as the implications of dividend payments to our stockholders and other factors it may deem relevant. In addition, our ability to pay dividends is limited by covenants in our existing and outstanding indebtedness and may be further limited by covenants in any future indebtedness we may incur. As a result, investors may not receive any return on their investment in our Class A Ordinary Share unless they sell their shares for a price higher than the purchase price.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The amendment to the Nasdaq’s continued listing requirements could result in our inability to maintain our listing.</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3, 2025, Nasdaq proposed to introduce an accelerated process for suspending and delisting companies with a listings deficiency that also have a market value listed securities below $5.0 million. Nasdaq proposes further enhancing investor protections by providing for suspension from Nasdaq trading and immediate delisting (rather than providing a compliance period) of any company that becomes non-compliant with a numeric listing requirement, including the bid price, market value of public float, equity, income and total assets/revenue requirements, and that has a market value of listed securities of less than $5 million. To effect this change, Nasdaq proposes to modify Listing Rule 5810(c)(1) to add an additional type of a deficiency that results in immediate delisting and suspension from trading of the company’s securities. Specifically, Listing Rule 5810(c)(1) will provide that staff’s delisting notice will inform the company that its securities are immediately subject to suspension and delisting when a company is non-compliant with one or more of the listing requirements contained in Rule 5450 or Rule 5550 and the company’s Market Value of Listed Securities has failed to maintain a value of at least $5 million for a period of 10 consecutive business days. Listing Rule 5810(c)(2)(A)(i) currently identifies all quantitative deficiencies from standards that do not provide a compliance period as deficiencies for which a company may submit a plan of compliance for staff review. Nasdaq proposes to modify Listing Rule 5810(c)(2)(A)(i) to provide that the company may not submit such a plan when the company’s Market Value of Listed Securities had been less than $5 million for a period of 10 consecutive business days. Further, Listing Rule 5810(c)(3) currently identifies deficiencies for which the rules provide a specified cure or compliance period. Nasdaq proposes to modify Listing Rule 5810(c)(3) to provide that a company will not be entitled to such cure or compliance period if the company’s Market Value of Listed Securities has failed to maintain a value of at least $5 million for a period of 10 consecutive business days. Finally, Nasdaq proposes to modify Listing Rule 5810(c)(1) to provide that staff’s delisting notice in these circumstances will inform the company that its securities are immediately subject to suspension from trading on Nasdaq. Nasdaq believes that it is not appropriate for such a company to continue trading on Nasdaq during the pendency of the Hearings Panel review process. Instead, Nasdaq proposes to amend Rule 5815 to remove the stay provision in these situations so that the company’s securities will be suspended from trading on Nasdaq during the pendency of the Hearings Panel’s review (“Strengthened Listing Threshold”).</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we currently meet the revised listing requirements, we may be unable to continue to satisfy the newly revised listing requirements and applicable rules on the Nasdaq Capital Market, which could materially and adversely affect the liquidity, visibility, and overall marketability of our ordinary shares. In addition, the Strengthened Listing Threshold may be part of a broader trend of heightened regulatory scrutiny and stricter supervisions for companies with principal operations in China, Hong Kong, and Macau. Currently, it is not clear whether Nasdaq will propose any continue listing rules specifically applicable to companies with principal operations in China, Hong Kong, and Macau, but if that occurs, our ability to conduct future offerings or maintain our listing could be adversely affected if Nasdaq or the SEC implements additional stringent criteria. We may be required to expend significant resources to address any future regulatory changes or concerns, which could divert our management’s attention and resources from our business operations. Any such events could have a material adverse effect on our business, financial condition, and results of operations, and could cause a significant decline in the value of our securities, or our securities could be subject to delisting.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Class A Ordinary Shares’ liquidity and market price may be volatile.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price and trading volume of our Class A Ordinary Shares may be volatile. The following factors, among others, may affect the trading volume and price of our Class A Ordinary Shares:</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customers or material defaults by our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our key personnel or senior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competitive developments, acquisitions or strategic alliances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financial analysts;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involvement in litigation or regulatory investigations;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or other developments affecting us or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 and volume and other events or factors beyond our control;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lockup or other transfer restrictions on our outstanding ordinary shares, or sales or perceived sales of additional ordinary shares by us or other shareholders;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maintain regulatory approval for our business operations.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stock markets and the shares of other companies listed on the Nasdaq with significant operations and assets in China have been experiencing increasing price and volume fluctuations in recent years, some of which have been unrelated or disproportionate to the operating performance of such companies. These broad market and industry fluctuations may adversely affect the market price of our ordinary shares, and it is possible that our ordinary shares may be subject to changes in price not directly related to our performance.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SunCar fails to implement and maintain an effective system of internal controls to remediate its material weaknesses over financial reporting, SunCar may be unable to accurately report its results of operations, meets its reporting obligations or prevent fraud, and investor confidence and the market price of SunCar’s ordinary shares may be materially and adversely affected.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we were a private company with limited accounting personnel and other resources with which to address our internal controls and procedures. Neither we nor our independent registered public accounting firm undertook a comprehensive assessment of our internal control under the Sarbanes-Oxley Act of 2002 for purposes of identifying and reporting any material weakness. Had we performed a formal assessment of our internal control over financial reporting or had our independent registered public accounting firm performed an audit of our internal control over financial reporting, material weakness or control deficiencies may have been identified.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completion of the Business Combination, we became subject to the Sarbanes-Oxley Act of 2002. Section 404 of the Sarbanes-Oxley Act, or Section 404, requires that we include a report from management on the effectiveness of our internal control over financial reporting in our annual report on Form 20-F beginning with our annual report in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an adverse opinion on the effectiveness of internal control over financial reporting if it is not satisfied with our internal controls or the level at which our controls are documented, designed, operated or reviewed, or if it interprets the relevant requirements differently from us. In addition, following our transition to a public company, our reporting obligations may place a significant strain on our management, operational and financial resources and systems for the foreseeable future. We may be unable to timely complete its evaluation testing and any required remediation.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it has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ordinary shares, may be materially and adversely affected. Additionally, ineffective internal control over financial reporting could expose us to increased risk of fraud or misuse of corporate assets and subject us to potential delisting from the stock exchange on which our securities are listed, regulatory investigations and civil or criminal sanctions. We may also be required to restate its financial statements from prior periods. We will incur increased costs as a result of being a public company.</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completion of the Business Combination, we became a public company and expect to incur significant legal, accounting, and other expenses. For example, as a result of being a public company, we have adopted policies regarding internal controls and disclosure controls and procedures. Operating as a public company makes it more difficult and more expensive for us to obtain director and officer liability insurance, and we may be required to accept reduced policy limits and coverage or incur substantially higher costs to obtain the same or similar coverage. We may also be unable to obtain appropriate director and officer liability insurance at all. In addition, we will incur additional costs associated with our public company reporting requirements. It may also be more difficult for us to attract and retain qualified persons to serve on our Board of Directors, board committees or as executive officers due to the lack of director and officer insurance coverage, which helps mitigate the risk and loss of personal assets for directors and officers. Our inability to obtain appropriate director and officer insurance policies could cause substantial business disruption, adverse reputational impact and regulatory scrutiny and, as a result, could have a material adverse effect on our business, financial condition and results of operations.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we cease to be an “emerging growth company,” we may incur significant expenses and devote substantial management effort toward ensuring compliance with the requirements of Section 404 and the other rules and regulations of the SEC.</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perceived sales of substantial amounts of our securities in the public market could have a material adverse effect on the prevailing market price of our Ordinary Shares and our ability to raise capital in the future and may result in dilution of your shareholdings.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Ordinary Shares could decline as a result of future sales of substantial amounts of our Ordinary Shares or other securities relating to our Ordinary Shares in the public market or the issuance of new Ordinary Shares or other securities, or the perception that such sales or issuances may occur. Future sales, or perceived sales, of substantial amounts of our securities, including any future offerings, could also materially and adversely affect our ability to raise capital in the future at a time and at a price which we deem appropriate. In addition, our Shareholders may experience dilution in their holdings to the extent we issue additional securities in future offerings.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our largest shareholder and may not be able to resolve such conflicts on favorable terms for 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largest shareholder holds a fair amount of SunCar’s voting rights and is able to exert substantial influence over matters requiring shareholder approval. As a result, we cannot assure that any of our controlling shareholders will act in the best interest of our company should any conflict arise. For example, they may make strategic decisions with respect to us or that affect our business in ways that favor themselves and therefore their own shareholders, which may not coincide with the interests of our other shareholders. We may not be able to resolve any potential conflicts, and even if we do so, the resolution may be less favorable to us than if we were dealing with an unaffiliated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was incorporated under the laws of the Cayman Islands on August 6th, 2021, solely for the purpose of effectuating the Business Combination, which was consummated on May 17, 2023. The Company has no material assets other than its interests in ASGL and GBRG acquired in the Business Combination and does not operate any business other than through ASGL, its wholly-owned subsidiary. ASGL is a Cayman Islands exempted company. See </w:t>
      </w:r>
      <w:r>
        <w:rPr>
          <w:rFonts w:ascii="Times New Roman" w:cs="Times New Roman" w:eastAsia="Times New Roman" w:hAnsi="Times New Roman"/>
          <w:sz w:val="18"/>
          <w:szCs w:val="18"/>
          <w:i w:val="1"/>
          <w:iCs w:val="1"/>
          <w:color w:val="auto"/>
        </w:rPr>
        <w:t>Item 5-Operating and Financial Review and Prospects</w:t>
      </w:r>
      <w:r>
        <w:rPr>
          <w:rFonts w:ascii="Times New Roman" w:cs="Times New Roman" w:eastAsia="Times New Roman" w:hAnsi="Times New Roman"/>
          <w:sz w:val="18"/>
          <w:szCs w:val="18"/>
          <w:color w:val="auto"/>
        </w:rPr>
        <w:t xml:space="preserve"> for a discussion of ASGL’s operating and financial review and prospects for the year ended December 31, 2025.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mailing address of the Company’s principal executive office is Suite 209, No. 656 Lingshi Road, Jing’an District, Shanghai, 200072, People’s Republic of China, and its telephone number is (86) 138-1779-6110. The Company’s official website is https://suncartech.com/. The information contained on, or accessible through, the Company’s website is not incorporated by reference into this Report, and you should not consider it a part of this Report.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subject to certain of the informational filing requirements of the Exchange Act. Since the Company is a “foreign private issuer,” the officers, directors and principal shareholders of the Company are exempt from the reporting and “short-swing” profit recovery provisions contained in Section 16 of the Exchange Act with respect to their purchase and sale of Class A Ordinary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On March 30, 2023, the Company and GBRG furnished to its shareholders a proxy statement/prospectus relating to the Business Combination. The SEC also maintains a website at http://www.sec.gov that contains reports and other information that the Company files with or furnishes electronically to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the Company did not conduct any material activities other than those incidental to its formation and the matters contemplated by the Merger Agreement, such as the making of certain required securities law filings and the establishment of merger subsidiaries. Upon the Closing, the Company became the direct parent of ASGL (d/b/a SunCar) and conducts its business through ASGL and ASGL’s subsidiaries.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INDUSTRY OVERVIEW OF SUNCAR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Vehicles (“EVs”) in China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China’s EV market reached a historic milestone in 2025, with EVs making up almost 50% of new car sales. According to China’s Ministry of Public Security, the total number of motor vehicles in China reached 469 million by the end of 2025. Of these, the number of EVs totaled 43.97 million, accounting for approximately 12% of all automobiles, up from 31.40 million at the end of 2024. In 2025, 12.93 million new EVs were sold, representing approximately 49% of all new vehicle sales, underscoring the accelerating pace of EV growth. EV wholesale sales reached 15.33 million units, a 25% annual increase. China’s EV manufacturers, led by BYD, SAIC, Geely, and Chery, achieved record annual sales and surpassed Japanese automakers in total passenger vehicle sales for the first time. Additionally, 66% of EVs sold in 2025 were equipped with “hands-off” automated driving assist systems, highlighting the rapid convergence of electrification and autonomous driving technology in China’s market. China also produced over 70% of the world’s lithium-ion batteries, with manufacturers such as CATL and BYD playing a central role in the global EV supply chain.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Artificial intelligence (“AI”) is increasingly being integrated into China’s EVs and their broader ecosystem. The Chinese Government is strongly encouraging EV manufacturers to incorporate AI across all aspects of their vehicles. With 66% of China’s EV already equipped with self-driving features, the next phase of EV development is expected to focus on fully autonomous, AI-powered vehicles. SunCar, through its partnership with ByteDance Doubao, is enabling its EV partners to deliver the latest AI-powered insurance and services to their drivers. These include intelligent policy pricing and matching, predictive maintenance, and advanced service routing.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China’s Auto Insurance Market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insurance market in China is highly concentrated and dominated by state-owned insurance companies such as PICC, Ping An, and Pacific Insurance. The top 10 insurance company groups collectively account for more than 90% of the market share.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Auto insurance in China consists of two components: compulsory motor vehicle liability insurance and commercial insurance. Compulsory motor vehicle liability insurance premiums are paid annually, with rates determined by accident records and vehicle capacity. Commercial insurance is classified into two categories, primary and additional insurance. Commercial insurance premiums are generally determined by the vehicle’s purchase price, traffic violation records, and other variables. These premiums are often adjusted based on the accident rate in previous years.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GlobalData, China’s total auto insurance market, measured by gross written premiums, was estimated to be approximately $130 billion in 2025 and is projected to grow to approximately $166 billion by 2029. The auto insurance market is impacted by growing vehicle ownership, the expanding EV fleet (which tends to carry higher average premiums due to specialized components and battery costs), and stricter regulatory requirements for insurance coverage. EVs accounted for approximately 11.5% of motor insurance premiums in 2025 and are growing at more than twice the rate of the overall market, making EV-focused insurance one of the fastest-growing segments in China’s non-life insurance industry.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auto insurance market in China involves two key participants: insurance companies and insurance brokers. Insurance companies are responsible for developing and administering policies, managing them, and paying out claims, thereby assuming the associated risks of insurance policies. Insurance agencies or brokers act as retail or wholesale intermediaries that sell and service the insurance products created by the insurance companies. Insurance agents are not directly employed by any single insurance company. Instead, they can choose which insurance companies to represent and which products to sell. By cooperating with various insurance companies, insurance agencies are able to offer insurance products underwritten by different companies, giving consumers a broader range of options.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auto eInsurance agency refers to a brokerage that leverages internet technology to distribute auto insurance products through online sales channels, including PC portals and mobile apps. These platforms are designed to support and drive sales to offline channels. Through the online portal, sales staff can compare quotes and policy terms from different insurance providers. They can also recommend suitable insurance products and perform the entire insurance transaction process for clients, including information consultation, plan design, policy selection, and payment.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Future Trends of the Auto eInsurance Agency Market in China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Increasing Demand for More Diversified Auto eInsurance Products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the supply side, as the market becomes more standardized and concentrated, auto eInsurance agencies are seeking to differentiate themselves, often through product diversification. As the market gradually evolves and matures, the complexity of auto eInsurance products also keeps evolving. From the demand side, the growing number of vehicles is bringing more customers into the market, many of whom have increasingly specific needs. As customers become more familiar with auto eInsurance, they will demand different types of auto eInsurance policies to meet their diverse and specific needs. In addition, the rapid growth in EV sales is expected to drive further demand in the auto eInsurance agency market, particularly for products tailored to EV-specific risks such as battery degradation, charging infrastructure, and autonomous driving liability.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Accelerating Industry Consolidation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its short history relative to more developed countries, the insurance agency market in China remains fragmented and offers significant potential for further growth and consolidation. Moreover, as the Chinese government continues to promote the healthy and orderly development of the auto eInsurance agency market through stricter industry regulations, barriers to entry are expected to increase and the number of market participants to decrease. As a result, auto eInsurance agencies that are unable to afford the increasing regulatory costs, due to their lack of scale, may consider exiting the market due to intensified competition, poor profitability, or burdensome industry regulations. In contrast, the leading players with greater scale and experience are expected to benefit in the long run.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Technological Advancement to Enhance Operational Efficiency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advances in technologies, including the Internet of Things, big data, cloud computing, large language models, and generative AI, these technologies are rapidly becoming integrated into the EV value chain. As digitalization brings customers, vehicle manufacturers, and auto eInsurance providers closer together, auto eInsurance agencies can initiate strategic alliances with vehicle manufacturers to better take advantage of new market opportunities and leverage improved customer data. Ultimately, through the application of these technologies, auto eInsurance providers can develop custom auto eInsurance products according to each individual customer’s situation. Embedded insurance platforms, integrated directly into OEM apps and vehicle dashboards, are reshaping how insurance products are sold and renewed, with EV manufacturers increasingly acting as primary distribution channels for their owners. Such technological trends will likely continue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China’s Integrated Auto Service Market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China’s Ministry of Public Security, by the end of 2025 the total number of motor vehicles on China’s roads reached 469 million units, with passenger vehicles accounting for 366 million units, representing substantial annual growth from 352.68 million motor vehicles recorded in 2024. EVs totaled 43.97 million by the end of 2025, nearly 40% more than the 31.40 million recorded at the end of 2024. This growth underscores the rapid electrification of China’s vehicle fleet. These figures exceeded the United States and the European Union in both fleet size and growth rates.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Integrated auto service providers refer to those companies that offer comprehensive, integrated auto services to customers through offline service channels such as 4S dealerships, repair &amp; maintenance stores, and other offline auto service providers.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Business-to-Business (“B2B”) integrated auto service providers offer their products and services to business customers which primarily are comprised of banks, airlines, insurance companies, telecom companies, online platforms such as online travel agencies, e-commerce platforms, and corporations that have such needs. Business-to-Customer (“B2C”) integrated auto service providers offer their products and services directly to end consumers or end users. A few online professional auto service platforms are emerging where consumers can directly purchase relevant services online.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Concierge auto services mainly target enterprise customers such as banks, insurance companies, airlines, and telecom companies, among others, who tend to centralize procurement of these services through a bidding process. The winner of the bidding supplies integrated services to these business customers in the form of an auto service package. Banks, insurance companies, airlines, and telecom companies generally distribute services as rewards to their VIP customers or members, and the latter can enjoy relevant services by redeeming their reward points.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Order push mode, where a customer requests a specific auto service, is designed to be a standardized product and is sold by an intermediate institution such as online platforms or e-commerce companies. They tend to offer these standardized services on their platform when consumers order the services and then procure them accordingly from integrated auto service providers.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Trends in the B2B Integrated Auto Service Market in China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Increasing Demand for Integrated Auto Service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Driven primarily by the steadily growing number of vehicles in use, particularly EVs, there is expanding demand for various value-added services such as concierge chauffeur, designated driving, battery maintenance, and EV charging. The benefits of these comprehensive service solutions will continue to drive demand for integrated auto service and are expected to sustain their growth over the long run.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More Standardized Service Delivery Procedures and Products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better manage their extensive service networks, a few leading players have standardized auto services and continuously improve their service delivery procedures by enhancing the standardization of their services. Going forward, this will be a key focus for the integrated auto service providers who aim to rapidly expand service networks without sacrificing the quality of the services delivered by their offline channel partners.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Integration and Consolidation of the Value Chain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profit margins are relatively low, certain integrated auto service providers are opting to consolidate their service networks by integrating fragmented, independent offline service providers. This allows them to expand their geographical reach and service scope cost-effectively, and promotes resource integration in the value chain. This also results in a win-win partnership between online platforms and offline service providers. In the future, this model is expected to be widely adopted, as industry consolidation increases with leading players acquiring or engaging more service providers to expand the reach of their network across the country.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More Innovation in the Online-to-Offline Business Mode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Attracted by market potential, many auto service providers have developed their online-to-offline service platforms to deliver auto services. However, limited marketing resources, low customer loyalty, and lack of competitive advantages are of great concern to the integrated auto service providers. Developing more innovative business models to optimize online and offline marketing channels has become one of the priorities for current players and new entrants. This allows them to capture opportunities in the current gas vehicle market as well as the high growth EV market, and continue to grow in an increasingly competitive market.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BUSINESS OF SUNCAR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leading provider of cloud, AI, and mobile app-based auto eInsurance services, technology services, and auto services in China. For the year ended December 31, 2025, we generated revenue of $489.3 million. Building on our leading position in these segments and the synergies between them, we offer one-stop, fully digitalized, on-demand auto service systems to help our enterprise customers enhance the loyalty of their end customers and better serve their end customers’ needs.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in 2007, we have amassed significant experience in identifying and serving the expanding needs of China’s automobile owners. With the increasing prevalence of the mobile Internet in China, we introduced online apps for our insurance and auto business in 2014 and 2015, respectively. We have built comprehensive AI-powered digital systems for both our auto service and auto eInsurance business segments, centered on our multi-tenant, cloud-based platform which empowers customers and service providers to optimally access and manage the types of services and insurance they desire.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our auto eInsurance business, we facilitate the sale of auto insurance products underwritten by major insurance companies in China. We receive commissions from these insurance companies, which are typically a percentage of the premium paid by the policyholder. We implement, automate, and streamline the insurance purchasing process through our proprietary AI, cloud, and mobile apps which connect our customers to the full spectrum of products from leading insurers in China. We sell insurance policies through a network of over 64,000 external sales partners. These sales partners include an offline auto network with frequent exposure to car owners, an online marketplace with large user traffic, and emerging EV OEMs and service providers. As of December 31, 2025, we have branch headquarters in 31 cities across 20 provinces of China. We have also established collaborative relationships with 35 insurance company groups (including the top 10 insurance company groups with a combined market share of over 90%) in over 1,255 insurance company branch offices.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operate our auto service business by offering customized auto services to our enterprise customers, who include major banks, insurance companies, and other enterprises, all of whom have end customer demand for auto services. These enterprise customers purchase our services for the members of their reward programs or customer loyalty programs to use. The auto service solutions cover over 300 types of services such as car wash, oil change, tire repair, car beautification, road assistance, flight pickup, designated driving, VIP lounge, etc. They are provided in collaboration with our auto service providers, which are typically third-party auto service providers. As of December 31, 2025, we have established a service network of over 48,000 third-party brick-and-mortar auto service providers, leasing companies and roadside assistance companies. With this extensive service network, we serve over 1,520 enterprise customers.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built our business as a digitalized, technology-driven provider of online platforms that enable and facilitate B2B services. We have secured 165 registered copyrights for our computer software. Our proprietary technology solution is centered on our multi-tenant platform and cloud infrastructure. On the auto services side, our digital platform provides API docking, front-end plug-in and module integration for our enterprise customers, as well as efficient, user-friendly management and operations tools for our service providers. On the auto eInsurance side, our platform empowers our insurance partners to manage all aspects of their business, including customer orders, products, commissions, and reports. For insurance purchasers, our online insurance portal provides data-driven, AI-powered real-time quotation, pricing, underwriting, and payments, by connecting to our market-wide insurer clients and the full spectrum of their policy selections. Our AI-powered hybrid cloud infrastructure provides secure storage and computation to support the demands of both insurance companies and end customers.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started to productize our technology into a new business line. With growing demand to efficiently manage their businesses, our auto service providers are now paying SunCar for online tools to streamline their business workflows, manage their customer relationships, and automate order processing. With the iterative upgrades of our technology, we are working on developing more SaaS model product offerings and plan to gradually turn our auto service providers into our technology service customers.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 synergies between our auto service and auto eInsurance business lines enable positive feedback loops and symbiotic growth between the two business segments. As we grow our nationwide auto service provider network, these service providers become sales partners in our auto eInsurance business. In terms of insurance companies, when we engage with them to sell their insurance products, we also have the opportunity to engage them as clients of our auto service solutions. We believe these business development synergies will boost our sales channels as well as client networks in both of our business segments.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our business is closely connected to the automotive industry, we have embraced the recent trends of electric and smart vehicles. We are now working with leading EV and smart car OEMs, including Tesla, Xiaomi, NIO, Li Auto, ZEEKR, SAIC, Leapmotor, XPeng, Avatr, Lotus, Seres Auto, HIMA, BYD, and Huawei, embedding our auto service solutions into their online applications and panels, and providing various insurance products to EV owners.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Our Business Model and Business Segments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diagram below demonstrates the transaction process of our auto eInsurance and auto services businesses, and the symbiotic relationship between them. We embed our auto service module, after customization by our enterprise customers, into their own online loyalty applications. They then use the digital portal to procure the offline services from our offline service networks. We also assist our insurance company partners to sell their insurance products through some of these same auto service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125730</wp:posOffset>
            </wp:positionV>
            <wp:extent cx="5829300" cy="1603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auto eInsurance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generate revenue for our auto eInsurance business by collecting commissions from insurance companies for the successful sale of their insurance products, which are typically based on a percentage of the premium paid by insurance purchasers. Commission rates are typically set by insurance companies and differ by product type, insurance company, and region where the products are sold. The commission rates are also subject to adjustments by insurance companies based on their profit expectations, consumer demand, the availability and pricing of comparable products from other insurance companies, and government regulation and policies. In particular, rates are impacted by price-setting regulations by the China Banking and Insurance Regulatory Commission (CBIRC). Consequently, our average commission rates also vary by location and time of sale.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offer auto eInsurance products underwritten by major insurance companies in China. The auto eInsurance products we intermediate consist primarily of statutory automobile liability insurance (“SALI”) and commercial auto eInsurance. SALI compulsory vehicle insurance for all automobiles in China required by relevant laws and regulations, which covers casualty and property loss in accidents involving the insured vehicle. Additionally, we intermediate various types of non-mandatory commercial insurance products for automobile owners, which cover damage caused to the insured automobiles by collisions and other traffic accidents, falling or flying objects, fire, explosions, and natural disasters. We also intermediate commercial third-party liability insurance products, which cover bodily injuries and property damage to third parties caused by accidents involving insured vehicles, losses arising from vehicle theft and robbery and liability to passengers. We also facilitate the sale of supplementary policies to cover additional losses such as broken glass and vehicle body scratches. From time to time upon enquiry of insurance purchasers, we will also facilitate the sale of individual accident insurance and other property and casualty insurance products related to vehicles or drivers.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digitalized our auto eInsurance business using our proprietary technology to ensure efficient and friendly user experience. We employ artificial intelligence (AI) technology to automate parts of the workflow, completing the entire insurance purchase process within a few minutes. We are digitally connected to 35 major insurance company groups in over 1,250 insurance company branch offices (including the top 10 insurance company groups with combined market share over 90%) in China through their systems, with a wide selection of auto insurance products. Our sales partners have access to accurate traffic and vehicle data from car owners. These sales partners introduce and guide the car owners to purchase insurance and then receive sales commissions from 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the end of 2025, we had set up 31 branches across different cities. We have expanded our sales channels to over 64,000 sales partners. In China, insurance companies typically establish local insurer branches in different provinces or cities to deliver their services and products. Usually, both insurance companies and their branches have the decision-making ability to select their agency partners. However, when we engage with insurance companies, the transaction is established digitally, and the business is allocated and executed by their branches.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auto services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our digital platform, we integrate the service capabilities of over 48,000 auto service providers to provide customized service solutions for our enterprise customers. Our enterprise customers purchase these service solutions for their customers, who are typically members of their reward and customer loyalty programs. Through a simple integration into their own loyalty platform, our enterprise customers can indicate their current needs and budgets, which are then transmitted to our platform. These requests generate flexible and customized service solutions which vary by type, price, scale, location, terms, and duration of services. Our dedicated operations team helps our auto service providers reach clients in real-time, around-the-clock, and from all of our business locations.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auto service solutions include both high-frequency, routine services and one-time, pre-booked services. The former includes car wash, oil change, car detailing, tire change, and other regular auto maintenance services. The latter includes concierge chauffeur, flight pickup, driver service, road assistance, and car overhaul services. These services are performed by the auto service providers connected to our digital platform; over 48,000 large and small businesses and individuals in the auto service industry. As regulated by the PRC laws, the auto service providers are liable for tort claims for any damage resulting from their services. Our enterprise customers are also liable for contractual claims by their end customers for any damage arising from the services of the auto service providers.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auto services create value for both our customers and the auto service providers. The auto market in China is highly fragmented, complex and localized, with non-standard quality of service. End customer requirements are specific and dynamic. Based on our auto service providers’ feedback, without SunCar’s marketing support, they often suffer from insufficient and unpredictable order flow. Our one-stop auto solution connects our customers with a full-spectrum of services covering all 33 provinces in China, where we provide quality control, data security, and on-demand flexibility. Based on past experience, our business scale and order volume have provided us with bargaining power versus the individual auto service providers. This has enabled us to enforce our uniform standards of service quality, cost efficiency, and on-demand flexibility. Our smart order distribution system automatically matches each instance of a client’s service need to the best auto service provider for the job. After the job is completed, it records the client’s feedback for a sustained, accurate, and fair rating system.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over 1,520 clients using our services in 2025, generating over 700 customized service solutions running on over 1,520 client applications for the year 2025. We have developed a network of over 48,000 auto service providers in China by the end of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our nearly two decades of doing business in the auto service and insurance markets, we have acquired rich domain knowledge of our own business and our partners’ businesses. To fully digitalize our business, we have continuously worked to develop online tools and digital systems to empower our partners to run their businesses more efficiently and seamlessly by connecting to our platforms. We have built modular online management tools such as customer relationship management (CRM), order management, finance management, and visual analysis systems, based on our proprietary hybrid cloud platform. All of our auto service providers and insurance sales partners use all or some of these online tools to manage their daily work, allowing us the opportunity to monetize the online software we built.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been investing more R&amp;D resources to accelerate the transition of the existing online software modules into SaaS-based products. We launched our SaaS product with select customers in 2023, and are scaling this offering on our proprietary hybrid cloud platform. We continue to migrate our current portfolio of online software products to a 100% SaaS-based model. Prior to the SaaS-based product development which began in 2022, we had been selling our online software as a technology development service, converting some of our service providers into our technology business clients. We expect to add more features and make iterative updates to the product to enhance its capabilities and user experience. We currently market our technology business first to our service providers and insurance sales partners. In 2024, we began expanding the technology service business to sell to external clients, in addition to selling to our existing client pool.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Beginning in 2020, we started to monetize our technical services by selling online software as a new source of revenue. For the year 2025, our technical services business generated revenue of $54 million. Currently, this revenue comes from technology development service fees. We continue to develop our SaaS (Software as a Service) model for recurring subscription revenue. In 2025, we continued to deepen our partnership with ZEEKR (NYSE: ZK), having secured a contract in 2024 to develop and integrate our insurance platform into ZEEKR’s app ecosystem. We have also deepened our innovative partnership with Xiaomi. With Xiaomi’s first vehicle delivery in April 2024, we have been co-developing a bespoke insurance technology platform and expanding our embedded insurance sales for Xiaomi, including becoming Xiaomi’s partner for digital insurance renewals. In 2025, we won the bid for the Huawei HarmonyOS Smart Car Alliance initiating a strategic partnership that extends our embedded platform capabilities to Huawei’s smart car ecosystem. We expect to expand this business by developing more features and by turning more of our after-service and insurance clients and partners into technology business clients.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Direct synergies between our two major business segments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strong capability in managing extensive networks of auto service providers across China is a growth engine for our dual platforms of auto eInsurance and auto services. We believe it enables us to realize synergies as we develop both of our business segments, as follows:</w:t>
      </w:r>
    </w:p>
    <w:p>
      <w:pPr>
        <w:spacing w:after="0" w:line="160" w:lineRule="exact"/>
        <w:rPr>
          <w:sz w:val="20"/>
          <w:szCs w:val="20"/>
          <w:color w:val="auto"/>
        </w:rPr>
      </w:pPr>
    </w:p>
    <w:p>
      <w:pPr>
        <w:jc w:val="both"/>
        <w:ind w:left="980" w:hanging="324"/>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Cost-effective end customer-acquisition for our auto eInsurance business by enabling our auto service providers to provide insurance sales referrals. </w:t>
      </w:r>
      <w:r>
        <w:rPr>
          <w:rFonts w:ascii="Times New Roman" w:cs="Times New Roman" w:eastAsia="Times New Roman" w:hAnsi="Times New Roman"/>
          <w:sz w:val="18"/>
          <w:szCs w:val="18"/>
          <w:color w:val="auto"/>
        </w:rPr>
        <w:t>Auto service providers such as car wash and car detailing operators interact daily and closely with car owners, who, as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are the end customers of our insurance partners. Thus, we can leverage our extensive, established network of auto service providers to acquire end customers for insurance partners in our auto eInsurance business.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Efficient promotion of our auto services by cross-selling to our insurance company clients. </w:t>
      </w:r>
      <w:r>
        <w:rPr>
          <w:rFonts w:ascii="Times New Roman" w:cs="Times New Roman" w:eastAsia="Times New Roman" w:hAnsi="Times New Roman"/>
          <w:sz w:val="18"/>
          <w:szCs w:val="18"/>
          <w:color w:val="auto"/>
        </w:rPr>
        <w:t>Insurance companies strive to promote their auto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eInsurance products and enhance the loyalty of their end customers by bundling their insurance products along with auto services. These auto services give them a competitive advantage in a fiercely competitive market and with stringent regulations in their industry. We have established stable and mutually beneficial collaborations with major Chinese insurance companies, which enables cross-selling and heightens the appeal of both the auto services and the insurance products we facilitate on our platforms.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 Propositions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synergistic multi-service platform provides unique value for enterprise customers and their end customers in the auto services and auto eInsurance markets. We strive to promote the sustainable and healthy development of an integrated and digitalized service platform for car owners in China.</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value proposition for our enterprise customers:</w:t>
      </w:r>
    </w:p>
    <w:p>
      <w:pPr>
        <w:spacing w:after="0" w:line="227" w:lineRule="exact"/>
        <w:rPr>
          <w:sz w:val="20"/>
          <w:szCs w:val="20"/>
          <w:color w:val="auto"/>
        </w:rPr>
      </w:pPr>
    </w:p>
    <w:p>
      <w:pPr>
        <w:jc w:val="both"/>
        <w:ind w:left="980" w:hanging="324"/>
        <w:spacing w:after="0" w:line="267"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One-stop, plug-and-play, round-the-clock service enablement. </w:t>
      </w:r>
      <w:r>
        <w:rPr>
          <w:rFonts w:ascii="Times New Roman" w:cs="Times New Roman" w:eastAsia="Times New Roman" w:hAnsi="Times New Roman"/>
          <w:sz w:val="18"/>
          <w:szCs w:val="18"/>
          <w:color w:val="auto"/>
        </w:rPr>
        <w:t>Our service solutions contain diverse service selections, provided 24 hours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across China. This empowers our customers with 24-hour, on-demand service capabilities to satisfy their end customers. The plug-and-play customized service solutions are fully digitally operated and managed, via system-to-system integration between our customers and us.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Simple, convenient, and cost-effective service. </w:t>
      </w:r>
      <w:r>
        <w:rPr>
          <w:rFonts w:ascii="Times New Roman" w:cs="Times New Roman" w:eastAsia="Times New Roman" w:hAnsi="Times New Roman"/>
          <w:sz w:val="18"/>
          <w:szCs w:val="18"/>
          <w:color w:val="auto"/>
        </w:rPr>
        <w:t>Management believes we have built and enabled an extensive network of high-quality auto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providers and established stringent service standards to ensure a consistent quality of service. Our digital platform allows our enterprise customers to purchase comprehensive integrated auto services from a single provider using a simple plug-and-play connection, thereby avoiding the costs of selecting, engaging, and supervising numerous scattered and independent service providers on their own.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Quality auto services to end-consumers of our enterprise customers to increase their loyalty and satisfaction. </w:t>
      </w:r>
      <w:r>
        <w:rPr>
          <w:rFonts w:ascii="Times New Roman" w:cs="Times New Roman" w:eastAsia="Times New Roman" w:hAnsi="Times New Roman"/>
          <w:sz w:val="18"/>
          <w:szCs w:val="18"/>
          <w:color w:val="auto"/>
        </w:rPr>
        <w:t>We select quality auto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and monitor them with regular training and supervision. Our management believes the quality of services provided by our auto service providers enhances the loyalty and satisfaction of the end consumers of our enterprise customers.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Our value proposition for auto service providers:</w:t>
      </w:r>
    </w:p>
    <w:p>
      <w:pPr>
        <w:spacing w:after="0" w:line="227" w:lineRule="exact"/>
        <w:rPr>
          <w:sz w:val="20"/>
          <w:szCs w:val="20"/>
          <w:color w:val="auto"/>
        </w:rPr>
      </w:pPr>
    </w:p>
    <w:p>
      <w:pPr>
        <w:jc w:val="both"/>
        <w:ind w:left="324" w:hanging="324"/>
        <w:spacing w:after="0" w:line="267"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Cost-effective customer acquisition. </w:t>
      </w:r>
      <w:r>
        <w:rPr>
          <w:rFonts w:ascii="Times New Roman" w:cs="Times New Roman" w:eastAsia="Times New Roman" w:hAnsi="Times New Roman"/>
          <w:sz w:val="18"/>
          <w:szCs w:val="18"/>
          <w:color w:val="auto"/>
        </w:rPr>
        <w:t>Once connected, our digital platform directs the end consumers of our enterprise customers (i.e.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their loyalty and reward programs) to visit the stores of our auto service providers. This provides our auto service providers with an additional flow of customers which is significant in both volume and consistency, all without them incurring additional marketing expenses.</w:t>
      </w:r>
    </w:p>
    <w:p>
      <w:pPr>
        <w:spacing w:after="0" w:line="173" w:lineRule="exact"/>
        <w:rPr>
          <w:rFonts w:ascii="Times New Roman" w:cs="Times New Roman" w:eastAsia="Times New Roman" w:hAnsi="Times New Roman"/>
          <w:sz w:val="18"/>
          <w:szCs w:val="18"/>
          <w:color w:val="auto"/>
        </w:rPr>
      </w:pPr>
    </w:p>
    <w:p>
      <w:pPr>
        <w:jc w:val="both"/>
        <w:ind w:left="324" w:right="20" w:hanging="324"/>
        <w:spacing w:after="0" w:line="267"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management tools for efficient operation. </w:t>
      </w:r>
      <w:r>
        <w:rPr>
          <w:rFonts w:ascii="Times New Roman" w:cs="Times New Roman" w:eastAsia="Times New Roman" w:hAnsi="Times New Roman"/>
          <w:sz w:val="18"/>
          <w:szCs w:val="18"/>
          <w:color w:val="auto"/>
        </w:rPr>
        <w:t>We provide our auto service providers with online management tools to streamline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 and improve business efficiency. Although we have plans to monetize some of these online systems, we also expect the basic functions and modules to remain free for auto service providers to use in order to ensure wide adoption of our digital platforms.</w:t>
      </w:r>
    </w:p>
    <w:p>
      <w:pPr>
        <w:spacing w:after="0" w:line="173" w:lineRule="exact"/>
        <w:rPr>
          <w:rFonts w:ascii="Times New Roman" w:cs="Times New Roman" w:eastAsia="Times New Roman" w:hAnsi="Times New Roman"/>
          <w:sz w:val="18"/>
          <w:szCs w:val="18"/>
          <w:color w:val="auto"/>
        </w:rPr>
      </w:pPr>
    </w:p>
    <w:p>
      <w:pPr>
        <w:jc w:val="both"/>
        <w:ind w:left="324" w:hanging="324"/>
        <w:spacing w:after="0" w:line="267"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Referral fees for our auto eInsurance business. </w:t>
      </w:r>
      <w:r>
        <w:rPr>
          <w:rFonts w:ascii="Times New Roman" w:cs="Times New Roman" w:eastAsia="Times New Roman" w:hAnsi="Times New Roman"/>
          <w:sz w:val="18"/>
          <w:szCs w:val="18"/>
          <w:color w:val="auto"/>
        </w:rPr>
        <w:t>Auto service providers on our platform can also act as referral service providers for our auto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eInsurance business. They refer to their end consumers (of the auto services) who are also our potential insurance customers and then receive referral fees and other rewards when these referrals lead to successful insurance policy sales.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Our value proposition for our insurance company partners:</w:t>
      </w:r>
    </w:p>
    <w:p>
      <w:pPr>
        <w:spacing w:after="0" w:line="227" w:lineRule="exact"/>
        <w:rPr>
          <w:sz w:val="20"/>
          <w:szCs w:val="20"/>
          <w:color w:val="auto"/>
        </w:rPr>
      </w:pPr>
    </w:p>
    <w:p>
      <w:pPr>
        <w:jc w:val="both"/>
        <w:ind w:left="324" w:hanging="324"/>
        <w:spacing w:after="0" w:line="258"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Extensive network to promote cost-effective auto insurance policy sales. </w:t>
      </w:r>
      <w:r>
        <w:rPr>
          <w:rFonts w:ascii="Times New Roman" w:cs="Times New Roman" w:eastAsia="Times New Roman" w:hAnsi="Times New Roman"/>
          <w:sz w:val="18"/>
          <w:szCs w:val="18"/>
          <w:color w:val="auto"/>
        </w:rPr>
        <w:t>We leverage our proprietary technology platforms and our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networks of service providers to promote the sales of auto eInsurance products of our insurance company clients. This is facilitated by our online platform, which connects our over 64,000 external sales partners to insurance products underwritten by our 35 insurance company group clients (including the top 10 insurance company groups with over 90% market share), using our convenient online insurance portal. Thus, we allow our insurance partners to leverage our extensive networks to promote their products with efficiency and scale.</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67"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Targeted sales channels. </w:t>
      </w:r>
      <w:r>
        <w:rPr>
          <w:rFonts w:ascii="Times New Roman" w:cs="Times New Roman" w:eastAsia="Times New Roman" w:hAnsi="Times New Roman"/>
          <w:sz w:val="18"/>
          <w:szCs w:val="18"/>
          <w:color w:val="auto"/>
        </w:rPr>
        <w:t>Our sales partners consist of auto service providers and online car marketplaces with direct exposure to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 owner traffic. They connect their customers to the product offerings of our insurance partners, and we believe these prospective customers are typically highly qualified prospects for our insurance company partners.</w:t>
      </w:r>
    </w:p>
    <w:p>
      <w:pPr>
        <w:spacing w:after="0" w:line="173"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Efficiency with full digital experience. </w:t>
      </w:r>
      <w:r>
        <w:rPr>
          <w:rFonts w:ascii="Times New Roman" w:cs="Times New Roman" w:eastAsia="Times New Roman" w:hAnsi="Times New Roman"/>
          <w:sz w:val="18"/>
          <w:szCs w:val="18"/>
          <w:color w:val="auto"/>
        </w:rPr>
        <w:t>Our online portal enables our insurance partners to complete the entire insurance underwriting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digitally. With simple prompts from the insurance buyer, our system can realize automatic vehicle recognition, automatic quotation, online underwriting, online payment, and insurance policy generation, saving time and cost for our insurance partners compared to traditional offline policy selling.</w:t>
      </w:r>
    </w:p>
    <w:p>
      <w:pPr>
        <w:spacing w:after="0" w:line="1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Our value proposition for our external insurance sales partners:</w:t>
      </w:r>
    </w:p>
    <w:p>
      <w:pPr>
        <w:spacing w:after="0" w:line="227" w:lineRule="exact"/>
        <w:rPr>
          <w:sz w:val="20"/>
          <w:szCs w:val="20"/>
          <w:color w:val="auto"/>
        </w:rPr>
      </w:pPr>
    </w:p>
    <w:p>
      <w:pPr>
        <w:ind w:left="324" w:right="20" w:hanging="324"/>
        <w:spacing w:after="0" w:line="284"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Referral fees. </w:t>
      </w:r>
      <w:r>
        <w:rPr>
          <w:rFonts w:ascii="Times New Roman" w:cs="Times New Roman" w:eastAsia="Times New Roman" w:hAnsi="Times New Roman"/>
          <w:sz w:val="18"/>
          <w:szCs w:val="18"/>
          <w:color w:val="auto"/>
        </w:rPr>
        <w:t>Our external insurance sales partners, which include a large number of our auto service providers, earn referral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successful referrals of insurance purchasers to purchase insurance products through our auto eInsurance platform.</w:t>
      </w:r>
    </w:p>
    <w:p>
      <w:pPr>
        <w:spacing w:after="0" w:line="158" w:lineRule="exact"/>
        <w:rPr>
          <w:rFonts w:ascii="Times New Roman" w:cs="Times New Roman" w:eastAsia="Times New Roman" w:hAnsi="Times New Roman"/>
          <w:sz w:val="18"/>
          <w:szCs w:val="18"/>
          <w:color w:val="auto"/>
        </w:rPr>
      </w:pPr>
    </w:p>
    <w:p>
      <w:pPr>
        <w:jc w:val="both"/>
        <w:ind w:left="324" w:hanging="324"/>
        <w:spacing w:after="0" w:line="267"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Simple and convenient referral process. </w:t>
      </w:r>
      <w:r>
        <w:rPr>
          <w:rFonts w:ascii="Times New Roman" w:cs="Times New Roman" w:eastAsia="Times New Roman" w:hAnsi="Times New Roman"/>
          <w:sz w:val="18"/>
          <w:szCs w:val="18"/>
          <w:color w:val="auto"/>
        </w:rPr>
        <w:t>Our insurance portal integrates diverse products from 35 insurance providers (including the top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company groups with over 90% market share), which we believe provides marketwide selection for insurance buyers. With basic training, our insurance sales partners can help the insurance buyer to finish the purchasing process within a few minutes on their smartphones.</w:t>
      </w:r>
    </w:p>
    <w:p>
      <w:pPr>
        <w:spacing w:after="0" w:line="173" w:lineRule="exact"/>
        <w:rPr>
          <w:rFonts w:ascii="Times New Roman" w:cs="Times New Roman" w:eastAsia="Times New Roman" w:hAnsi="Times New Roman"/>
          <w:sz w:val="18"/>
          <w:szCs w:val="18"/>
          <w:color w:val="auto"/>
        </w:rPr>
      </w:pPr>
    </w:p>
    <w:p>
      <w:pPr>
        <w:jc w:val="both"/>
        <w:ind w:left="324" w:hanging="324"/>
        <w:spacing w:after="0" w:line="267"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consumer loyalty and satisfaction. </w:t>
      </w:r>
      <w:r>
        <w:rPr>
          <w:rFonts w:ascii="Times New Roman" w:cs="Times New Roman" w:eastAsia="Times New Roman" w:hAnsi="Times New Roman"/>
          <w:sz w:val="18"/>
          <w:szCs w:val="18"/>
          <w:color w:val="auto"/>
        </w:rPr>
        <w:t>For our channel partners such as Guazi.com, Souche.com, Chexiang.com, Cangoonline.com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Qufenqi.com, we recommend and customize insurance products and provide assistance in claim and damage assessment to their consumers.</w:t>
      </w:r>
    </w:p>
    <w:p>
      <w:pPr>
        <w:spacing w:after="0" w:line="28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value proposition for end consumers:</w:t>
      </w:r>
    </w:p>
    <w:p>
      <w:pPr>
        <w:spacing w:after="0" w:line="227" w:lineRule="exact"/>
        <w:rPr>
          <w:sz w:val="20"/>
          <w:szCs w:val="20"/>
          <w:color w:val="auto"/>
        </w:rPr>
      </w:pPr>
    </w:p>
    <w:p>
      <w:pPr>
        <w:jc w:val="both"/>
        <w:ind w:left="980" w:hanging="324"/>
        <w:spacing w:after="0" w:line="267"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Convenient one-stop “supermarket-style” auto insurance shopping experience. </w:t>
      </w:r>
      <w:r>
        <w:rPr>
          <w:rFonts w:ascii="Times New Roman" w:cs="Times New Roman" w:eastAsia="Times New Roman" w:hAnsi="Times New Roman"/>
          <w:sz w:val="18"/>
          <w:szCs w:val="18"/>
          <w:color w:val="auto"/>
        </w:rPr>
        <w:t>End consumers can obtain accurate real-time information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auto eInsurance products and conveniently shop for policies while visiting the car wash, car detailing shop, maintenance facilities, or car dealership.</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 services for loyalty points or at discounted prices. </w:t>
      </w:r>
      <w:r>
        <w:rPr>
          <w:rFonts w:ascii="Times New Roman" w:cs="Times New Roman" w:eastAsia="Times New Roman" w:hAnsi="Times New Roman"/>
          <w:sz w:val="18"/>
          <w:szCs w:val="18"/>
          <w:color w:val="auto"/>
        </w:rPr>
        <w:t>Our auto services platform enables end consumers to receive various quality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free or at discounted prices as a benefit for being members of the reward programs or customer loyalty programs of our enterprise customers. We provide end consumers with the opportunity to conveniently redeem the reward points they accumulate for high-quality auto services.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Convenient and customized service experiences. </w:t>
      </w:r>
      <w:r>
        <w:rPr>
          <w:rFonts w:ascii="Times New Roman" w:cs="Times New Roman" w:eastAsia="Times New Roman" w:hAnsi="Times New Roman"/>
          <w:sz w:val="18"/>
          <w:szCs w:val="18"/>
          <w:color w:val="auto"/>
        </w:rPr>
        <w:t>The management believes the scale of our network of auto service providers and efficient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platform allows end consumers to conveniently choose auto services that best suit their particular needs at the times and locations most convenient to them.</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Complementary insurance claims assistance and related services. </w:t>
      </w:r>
      <w:r>
        <w:rPr>
          <w:rFonts w:ascii="Times New Roman" w:cs="Times New Roman" w:eastAsia="Times New Roman" w:hAnsi="Times New Roman"/>
          <w:sz w:val="18"/>
          <w:szCs w:val="18"/>
          <w:color w:val="auto"/>
        </w:rPr>
        <w:t>We, in collaboration with our insurance partners and external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partners, provide comprehensive claims-related services to end consumers, including claims assistance and damage assessment assistance.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Auto eInsurance Business Process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auto eInsurance policies we intermediate generally have a term of one year. These policies are underwritten by insurance companies directly, and we are not a party to the insurance policy or any other agreements with the purchasers of the policies.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market insurance products to prospective end consumers sourced from a comprehensive and integrated omni-channel interactive marketing network connected by our digital platform. These sales partners are comprised of external insurance sales partners such as referral service providers, external registered sales representatives, and channel partners. All of our external sales representatives are registered with the CBIRC. We have embraced the use of external insurance sales partners as a major part of our marketing strategy. This shift was prompted by the introduction of the Insurance Law and the amended Provisions on the Supervision of Professional Insurance Agencies in 2015, which effectively eliminated the requirement for salespersons to pass the qualification examination organized by the CBIRC and obtain a qualification certificate for providing insurance referral services. In addition, the rise of the Internet and smartphones also prompted us to explore alternative marketing methods. Consequently, we redefined our marketing strategies after 2015 to focus on external insurance sales partners connected through our digital platform to our online insurance portal.</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engage external insurance sales partners to assist us in promoting the services and products we intermediate, referring potential insurance policy purchasers to us and help facilitate our transaction process. Depending on the type of partner, they may use a variety of means to market the insurance product. These include displaying our advertisements on their websites or billboards and notice boards on their business premises. They may also utilize our digital platform and online insurance portal sites to provide information about the insurance products we facilitate to potential insurance purchasers, and then, refer the prospective customers to us.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Transaction Process and Our Online Insurance Portal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proprietary technologies enable our in-house operations staff and external insurance sales partners to serve end consumers conveniently throughout the transaction process. We embed such technologies in the online insurance portal used by our external insurance sales partners. Our proprietary insurance app is designed to allow our external insurance sales partners to help potential insurance purchasers obtain accurate, real-time insurance premium quotes and make the shopping process efficient and convenient for our end consumers. Our external insurance sales partners guide insurance purchasers through the selection and application process via the insurance app. Potential insurance purchasers can obtain insurance premium quotes, submit insurance applications, and generally receive the relevant insurance company’s underwriting decisions from our online insurance portal. This portal automatically interacts with the systems of the insurance companies with which we are partnered. In addition, our external insurance sales partners may contact our online customer service personnel through our online insurance portal or call them directly to get further help or information for potential insurance purchasers.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referral service providers, external registered sales representatives, and channel partners are the primary users of our online insurance portal. End consumers only have access to our online insurance portal through our external insurance sales partners. For their convenience, our channel partners, such as EV OEMs, may register multiple accounts for their employees and stores. These registered users utilized our online insurance portal frequently and assisted end consumers to obtain over 35 million insurance premium quotes through our online insurance portal in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an illustrative graph of the transaction process of our auto eInsurance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154305</wp:posOffset>
            </wp:positionV>
            <wp:extent cx="5829300" cy="25374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930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Auto Services Business Process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auto service solutions include both regular, high frequency drop-in services as well as one-time, reserved services.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Drop-In Services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drop-in services consist primarily of the services provided by car wash and car detailing stores, and maintenance services providers. Such auto service providers are primarily connected through our multi-tenant Master Digital Platform. For convenience, our auto service providers with multiple stores generally register an individual account for each of their stores. As of December 31, 2025, our platform had more than 48,000 registered users, primarily brick-and-mortar stores auto service providers of drop-in services (compared to 48,000 and 47,000 as of December 31, 2024 and 2023). For our enterprise customers, our platform generates lists of stores of auto service providers (of all available ones) suitable to their current needs and requirements. To access drop-in services, end consumers may elect to go to any store on the list without making any reservations.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is a summary of our drop-in services:</w:t>
      </w:r>
    </w:p>
    <w:p>
      <w:pPr>
        <w:spacing w:after="0" w:line="223" w:lineRule="exact"/>
        <w:rPr>
          <w:sz w:val="20"/>
          <w:szCs w:val="20"/>
          <w:color w:val="auto"/>
        </w:rPr>
      </w:pPr>
    </w:p>
    <w:p>
      <w:pPr>
        <w:ind w:left="980" w:hanging="324"/>
        <w:spacing w:after="0" w:line="284"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Automobile detailing services. </w:t>
      </w:r>
      <w:r>
        <w:rPr>
          <w:rFonts w:ascii="Times New Roman" w:cs="Times New Roman" w:eastAsia="Times New Roman" w:hAnsi="Times New Roman"/>
          <w:sz w:val="18"/>
          <w:szCs w:val="18"/>
          <w:color w:val="auto"/>
        </w:rPr>
        <w:t>Our automobile detailing services include car washing, waxing, refinishing, cleaning, polishing, and paint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repair services.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Maintenance services. </w:t>
      </w:r>
      <w:r>
        <w:rPr>
          <w:rFonts w:ascii="Times New Roman" w:cs="Times New Roman" w:eastAsia="Times New Roman" w:hAnsi="Times New Roman"/>
          <w:sz w:val="18"/>
          <w:szCs w:val="18"/>
          <w:color w:val="auto"/>
        </w:rPr>
        <w:t>Our maintenance services include oil change, oil filter change, tire maintenance, and other minor tune-up services.</w:t>
      </w:r>
    </w:p>
    <w:p>
      <w:pPr>
        <w:spacing w:after="0" w:line="225"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Safety checkup services. </w:t>
      </w:r>
      <w:r>
        <w:rPr>
          <w:rFonts w:ascii="Times New Roman" w:cs="Times New Roman" w:eastAsia="Times New Roman" w:hAnsi="Times New Roman"/>
          <w:sz w:val="18"/>
          <w:szCs w:val="18"/>
          <w:color w:val="auto"/>
        </w:rPr>
        <w:t>Our safety checkup services include routine engine checkups, brake inspections, panel inspections, tires, meters,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battery, and other functioning parts of the automobile.</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Reservation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our auto services require reservations through either our enterprise customers or our reservation systems. Our enterprise customers’ own apps are conveniently integrated into our platform. Our reservation services are also provided by major auto services, leasing and professional roadside assistance companies, as well as individual drivers who are typically registered users connected to our platform, using features designed specifically to facilitate reservation services. We also collaborate with car services, leasing, and roadside assistance companies for our reservation services.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is a summary of our reservation services:</w:t>
      </w:r>
    </w:p>
    <w:p>
      <w:pPr>
        <w:spacing w:after="0" w:line="223" w:lineRule="exact"/>
        <w:rPr>
          <w:sz w:val="20"/>
          <w:szCs w:val="20"/>
          <w:color w:val="auto"/>
        </w:rPr>
      </w:pPr>
    </w:p>
    <w:p>
      <w:pPr>
        <w:ind w:left="980" w:hanging="324"/>
        <w:spacing w:after="0" w:line="284"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Designated driving. </w:t>
      </w:r>
      <w:r>
        <w:rPr>
          <w:rFonts w:ascii="Times New Roman" w:cs="Times New Roman" w:eastAsia="Times New Roman" w:hAnsi="Times New Roman"/>
          <w:sz w:val="18"/>
          <w:szCs w:val="18"/>
          <w:color w:val="auto"/>
        </w:rPr>
        <w:t>We primarily work with designated driver service providers to allocate a driver to the designated location, offering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driver chauffeur service for car owners.</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Destination pickup services. </w:t>
      </w:r>
      <w:r>
        <w:rPr>
          <w:rFonts w:ascii="Times New Roman" w:cs="Times New Roman" w:eastAsia="Times New Roman" w:hAnsi="Times New Roman"/>
          <w:sz w:val="18"/>
          <w:szCs w:val="18"/>
          <w:color w:val="auto"/>
        </w:rPr>
        <w:t>We collaborate with nationwide service providers to provide our destination pickup services. We offer a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destination pickup services primarily in major cities, and airport and train station pickups in other cities.</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Non-accident roadside assistance and breakdown services. </w:t>
      </w:r>
      <w:r>
        <w:rPr>
          <w:rFonts w:ascii="Times New Roman" w:cs="Times New Roman" w:eastAsia="Times New Roman" w:hAnsi="Times New Roman"/>
          <w:sz w:val="18"/>
          <w:szCs w:val="18"/>
          <w:color w:val="auto"/>
        </w:rPr>
        <w:t>We offer non-accident roadside assistance and breakdown services, such as 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changing and battery jumping, typically through our auto service providers connected through our digital platform, which allows us to offer expedient roadside services at a low cost. We also collaborate with professional roadside assistance companies such as towing companies.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 inspection services. </w:t>
      </w:r>
      <w:r>
        <w:rPr>
          <w:rFonts w:ascii="Times New Roman" w:cs="Times New Roman" w:eastAsia="Times New Roman" w:hAnsi="Times New Roman"/>
          <w:sz w:val="18"/>
          <w:szCs w:val="18"/>
          <w:color w:val="auto"/>
        </w:rPr>
        <w:t>We offer car inspection services by assisting the end consumers of our enterprise customers with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 process. This occurs at the offices of the DMV on behalf of the end consumers, including picking up and the delivery of automobiles for inspection.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 of Our Auto Service Providers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select and engage our auto service providers based on our business needs. We have established standard internal policies and procedures for the selection of auto service providers. We evaluate our auto service providers based on their business operation scope, financial situation, the status of their facilities, staff, and reputation. We require our auto service providers to have obtained all qualifications necessary for their services and maintain adequate insurance in line with market practices. We maintain a database of our auto service providers’ business licenses and qualifications. Our auto processing department monitors the database and requests auto service providers provide updated business licenses to us upon expiration. For our drop-in services, we also impose requirements for business areas, uniforms, store decoration, and providing clear pricing. Certain of our auto service providers may also act as external insurance sales partners of our auto eInsurance business by referring potential insurance purchasers to us.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require our auto service providers to maintain consistent service standards. For drop-in services, we typically require our auto service providers to be able to provide multiple types of drop-in services. For reservation services, we generally require enterprise auto service providers to provide 24-hour services. We require all the drivers involved in our auto services to have a minimum of five years of driving experience. We prefer to engage with major auto service chains, as we believe they are generally more capable of providing consistent quality services.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 into standard agreements with our auto service providers. Under such agreements, we generally pay our auto service providers a fixed service fee for the service provided by them. Such service fees vary depending on the types of services provided, location of the auto service provider, and timing of the service provided. We maintain a database of service reservations as the end consumers make their reservations. We use our digital platform to track the drop-in services order status as provided by our auto service providers.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we engage a particular drop-in auto service provider, we communicate with them on a monthly basis and conduct regular visits to their store(s). We have a team that conducts site visits to multiple auto service providers to ensure that we visit a majority of our auto service providers at least once a month. We also provide regular training for our auto service providers, including training on the use of our online management tools and service standards, and procedures. In addition, we have set up an end consumer feedback system to actively process end consumer feedback. According to our internal policy, within one month of receiving a customer complaint regarding a particular drop-in auto service provider, we will conduct site visits and provide special training in relation to our service standards to that auto service provider until it reaches our service standards. If an auto service provider repeatedly fails to provide quality services to our end consumers and receives multiple complaints, we will terminate our agreement with it.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Online-to-Offline Service Process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our auto apps and the auto services modules embedded in our enterprise customers’ mobile apps, we have established an online-to-offline model. Most of our enterprise customers have opted to receive electronic vouchers or barcodes through their mobile phones which they can use to receive auto services. At the same time, certain of our enterprise customers continue to opt for paper coupons, where such paper coupons carry a QR code. This enables our auto service providers to validate the coupons through their auto app. Our online-to-offline service process is enabled by the auto service modules we develop for our enterprise customers’ mobile apps and our auto app, which seamlessly connects the online portal to offline service providers. Our digital service platform provides a more accurate and convenient solution for our enterprise customers, auto service providers, and end consumers. Set forth below is an illustrative graph of this service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131445</wp:posOffset>
            </wp:positionV>
            <wp:extent cx="5829300" cy="2254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930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Partners and Clients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B2B business model, we sell to major enterprise customers, including insurance companies, banks, telecommunications, and other companies that have end customers with after-market auto services and insurance needs. Our enterprise customers find that SunCar’s platform enhances customer loyalty and increases customer lifetime value. We believe that our ability to establish and maintain stable collaborative relationships with quality clients is crucial to our success.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2025, we had over 1,520 enterprise customers (compared to over 1,480 in 2024 and over 1,400 in 2023) in terms of contract counterparties. We provided auto services to different banks at the headquarters level, such as the Bank of China, Industrial and Commercial Bank of China, China Merchants Bank, China Construction Bank, Agricultural Bank of China, Bank of Communications, China CITIC Bank, and Shanghai Rural Commercial Bank, and to over 1250 of their branches. We also collaborated with over 330 insurance companies such as PICC P&amp;C, Ping An P&amp;C, CPIC P&amp;C (China Pacific Insurance (Group) Co., Ltd.), China Continent Property &amp; Casualty Insurance, and TPI, as well as other institutions such as Walmart China, Visa, and China UnionPay during 2025. Our ability to provide quality auto services and secure real-time data processing has been widely recognized by our enterprise customers, as evidenced by our stable collaborations with them.</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had established business relationships with 35 insurance company groups (including the top 10 insurance company groups with a combined market share of over 90%). Our branches have established business relationships with over 1,250 branches of insurance companies. These strategic partnerships allow us to obtain more comprehensive support from our insurance partners in terms of technology systems, business operations, and claims support. They also allow SunCar to secure more favorable business terms and arrangements which has enhanced our market presence.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have established significant partnerships with leading technology companies and automotive manufacturers, particularly in the EV sector. Our customer base includes Tesla, Xiaomi, NIO, Li Auto, XPeng, Zeekr, Leapmotor, SAIC Motor, Seres, AVATR, Huawei, and other leading EV and smart car manufacturers. We provide these clients with comprehensive solutions including customized insurance technology platforms, digital auto services, and cloud-based software solutions.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2025, we continued to expand and deepen our EV OEM partnerships in multiple areas. We optimized our system experience for NIO’s brands, NIO, Onvo, and Firefly. This significantly improved the efficiency of NIO’s policy issuance. In partnership with Li Auto, we developed a self-service insurance application within Li’s customer app. This streamlined delivery times and enhanced user experience and was available nationwide in China. We successfully launched our digital insurance system for Leapmotor, covering policy renewals and claims processing. We deepened our collaboration with Tesla, adding a driver benefits package available for purchase on Tesla’s official app and commencing a partnership on Tesla’s digital insurance renewals business. We strengthened our partnership with Xiaomi, becoming the primary partner for Xiaomi’s digital insurance renewals business to mitigate policy lapse risk. We expanded cooperation with XPeng to enhance system capabilities and support online sales of extended warranties and service products. We also won the bid for the Huawei HarmonyOS Smart Car Alliance, initiating a new strategic partnership with Huawei across its smart vehicle ecosystem.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2025, we acquired Jiangxi Jiayi Auto Insurance Agency to expand our regional coverage and promote the Company’s business in Jiangxi Province. We signed a new agreement with China Post, expanding our distribution network by 174 additional partner stores in 2025.</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our auto services segment, we secured in-policy designated driver contracts with 13 provincial branches of PICC, including Beijing, Shanghai, Zhejiang, Yunnan, and Xinjiang, each structured as a “one-plus-one” renewable agreement. We expanded our partnership with Ping An Insurance P&amp;C, adding new car cleaning and detailing services in Xinjiang, Tibet, and Guizhou, winning a bid for designated driver services with the Sichuan branch, and establishing cooperation with Ping An headquarters on airport lounge services. We also established a framework agreement with Dadi P&amp;C’s headquarters and commenced service collaborations with retail divisions of its Zhejiang, Jiangsu, Henan, and Beijing branches. We successfully won the bid for an innovative auto services project with China ZheShang Bank integrating driver maintenance, fueling, designated driver, and parking services, and were named the exclusive mobility services provider for Shanghai Rural Commercial Bank.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service providers of our auto services business primarily include a wide variety of automobile service providers including car wash and detailing, maintenance, designated driver, destination pickup, non-accident roadside assistance, and breakdown service providers. We procure auto services through services groups, individual service providers, and sole proprietors in the auto services business. through which we procure individual service providers and sole proprietors in the auto services business. We generally pay service fees owed to auto service providers and contractors on a monthly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take an active part in China’s auto industry’s international expansion and AI transformation. The key components of our growth strategy are:</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Leverage our Partners Rapid International Expansion</w:t>
      </w:r>
      <w:r>
        <w:rPr>
          <w:rFonts w:ascii="Times New Roman" w:cs="Times New Roman" w:eastAsia="Times New Roman" w:hAnsi="Times New Roman"/>
          <w:sz w:val="18"/>
          <w:szCs w:val="18"/>
          <w:color w:val="auto"/>
        </w:rPr>
        <w:t>. Our partners are rapidly expanding overseas. We intend to leverage our deep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and relationships in China’s EV sector to help our partners with their international expansion plans. Our value to our partners is even more significant as the Chinese EV companies seek to find partners in overseas market to insure or provide services for their vehicles.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AI Transformation of China’s EV Industry. </w:t>
      </w:r>
      <w:r>
        <w:rPr>
          <w:rFonts w:ascii="Times New Roman" w:cs="Times New Roman" w:eastAsia="Times New Roman" w:hAnsi="Times New Roman"/>
          <w:sz w:val="18"/>
          <w:szCs w:val="18"/>
          <w:color w:val="auto"/>
        </w:rPr>
        <w:t>China’s EVs are rapidly incorporating artificial intelligence features and functionality. Through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with ByteDance Doubao, we are working with our partners to ensure they have access to the most advanced AI features in the insurance and downstream services offerings they are providing to their customers.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Benefit from High Industry Growth. </w:t>
      </w:r>
      <w:r>
        <w:rPr>
          <w:rFonts w:ascii="Times New Roman" w:cs="Times New Roman" w:eastAsia="Times New Roman" w:hAnsi="Times New Roman"/>
          <w:sz w:val="18"/>
          <w:szCs w:val="18"/>
          <w:color w:val="auto"/>
        </w:rPr>
        <w:t>We believe that the auto service industry and online auto insurance industry will continue to benefit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existing growth trends including growing car ownership in China and the accelerating transition to EVs. China’s EV fleet reached nearly 44 million vehicles at the end of 2025, and EVs now represent approximately 49% of newly registered automobiles. As EV penetration deepens, demand for EV-specific insurance products and after-sales services is growing. These are areas where SunCar has established a leading position.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Grow our customer base and expand our service partner network. </w:t>
      </w:r>
      <w:r>
        <w:rPr>
          <w:rFonts w:ascii="Times New Roman" w:cs="Times New Roman" w:eastAsia="Times New Roman" w:hAnsi="Times New Roman"/>
          <w:sz w:val="18"/>
          <w:szCs w:val="18"/>
          <w:color w:val="auto"/>
        </w:rPr>
        <w:t>The auto market in China is highly fragmented, with the top 5 auto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accounting for less than half the market share. We intend to leverage our business scale to further expand and connect more service partners to our network. We believe that such expansion would also benefit our online auto insurance business since many such service partners can become our insurance sales and referral partners. We also believe our digital system, full-spectrum services and broad geographic coverage would help us continue growth and deepen relationships with existing clients and partners.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 to invest in technology. </w:t>
      </w:r>
      <w:r>
        <w:rPr>
          <w:rFonts w:ascii="Times New Roman" w:cs="Times New Roman" w:eastAsia="Times New Roman" w:hAnsi="Times New Roman"/>
          <w:sz w:val="18"/>
          <w:szCs w:val="18"/>
          <w:color w:val="auto"/>
        </w:rPr>
        <w:t>Our business is built on an AI-powered cloud and multi-tenant digital platform which we have continued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 into our customers’ systems as well as into our service and sales networks. Our long-term focus is to digitalize all our internal workflow as well as the related business processes of our partners, empowering them with efficient and user-friendly tools and systems. We continue to adopt more cutting-edge technologies in AI including large language models such as DeepSeek and ByteDance’s Doubao.</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Expand the technology service business. </w:t>
      </w:r>
      <w:r>
        <w:rPr>
          <w:rFonts w:ascii="Times New Roman" w:cs="Times New Roman" w:eastAsia="Times New Roman" w:hAnsi="Times New Roman"/>
          <w:sz w:val="18"/>
          <w:szCs w:val="18"/>
          <w:color w:val="auto"/>
        </w:rPr>
        <w:t>We have based our technology service business on our industry knowledge and insights. Our library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proven online tools and digital systems has already been widely adopted by our customers and partners. We have established modular online management tools such as CRM, order management, finance management, and visual analysis systems, based on our proprietary hybrid cloud platform. All our auto service providers and insurance sales partners use all or some of these online tools to manage their daily work, allowing us the opportunity to monetize the online software we built. We have already generated revenue by monetizing our technology-based products into paid technology services. We plan to further develop our SaaS business model and expand our embedded platform integrations with additional EV OEMs.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Benefits of the EV growth trend. </w:t>
      </w:r>
      <w:r>
        <w:rPr>
          <w:rFonts w:ascii="Times New Roman" w:cs="Times New Roman" w:eastAsia="Times New Roman" w:hAnsi="Times New Roman"/>
          <w:sz w:val="18"/>
          <w:szCs w:val="18"/>
          <w:color w:val="auto"/>
        </w:rPr>
        <w:t>We believe that the auto industry is transforming from traditional vehicles to electric and smart vehicles,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cascades into transformations in the service and insurance value chains. The emerging EV players strongly emphasize online service capability embedded in the apps of OEMs or directly from car panels. The comprehensive data generated and collected from EVs also drives innovation of EV insurance. We are now closely working with top-tier EV and smart panel players in China, adding new services (such as battery maintenance and battery change) into our service solutions embedded in car owner apps or car panels.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Potential from EV OEMs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Incentivized by government regulations aiming for carbon neutrality and emission peak, China’s EV manufacturers, both emerging players as well as traditional auto manufacturers, are quickly scaling their production. In 2025, China’s EV wholesale sales reached 15.33 million units, up 25% year-over-year, and Chinese automakers surpassed Japanese manufacturers in global passenger vehicle sales for the first time. With EVs now representing approximately 49% of newly registered automobiles in China, and with the rising development of EV infrastructure including nationwide fast-charging networks, EVs have become mainstream among Chinese consumers. We believe that as EVs continue to decrease in costs and improve in performance, market demand is expected to grow further.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our business is closely connected to the auto industry, we have embraced the recent trends of electric and smart vehicles. We are now working with 20 mainstream EV and smart car panel players, embedding our auto service solutions into their online applications and panels, and providing insurance products to EV owners.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Engaging mainstream EV OEMs. </w:t>
      </w:r>
      <w:r>
        <w:rPr>
          <w:rFonts w:ascii="Times New Roman" w:cs="Times New Roman" w:eastAsia="Times New Roman" w:hAnsi="Times New Roman"/>
          <w:sz w:val="18"/>
          <w:szCs w:val="18"/>
          <w:color w:val="auto"/>
        </w:rPr>
        <w:t>We actively engage with mainstream EV OEMs, which help us acquire both business and data from their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As of December 31, 2025, we have engaged with Tesla Motors, Lotus Technology, Li Auto, XPeng, Leapmotor, Huawei (HarmonyOS Smart Car Alliance), and more for dedicated EV insurance business. Moreover, we have engaged with NIO (including its NIO, Onvo, and Firefly brands), XPENG, Xiaomi, ZEEKR, Voyah Auto, Great Wall Motor, Geely Auto, and others to offer more diverse auto solutions.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Solving the pain points of EV OEMs. </w:t>
      </w:r>
      <w:r>
        <w:rPr>
          <w:rFonts w:ascii="Times New Roman" w:cs="Times New Roman" w:eastAsia="Times New Roman" w:hAnsi="Times New Roman"/>
          <w:sz w:val="18"/>
          <w:szCs w:val="18"/>
          <w:color w:val="auto"/>
        </w:rPr>
        <w:t>The emerging EV OEMs and EV brands of traditional automotive companies usually adopt a direct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resulting in an insufficient service network in terms of both service depth and geographic coverage. We believe this makes us an ideal partner to help them empower their offline service systems. We work together with our EV OEM clients to offer various services via our auto service providers throughout the EV life cycle. Moreover, EV OEMs face demands from their customers for a wide range of insurance products, allowing us to engage with clients using our broad lineup of online insurance products.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Joining the digital trend. </w:t>
      </w:r>
      <w:r>
        <w:rPr>
          <w:rFonts w:ascii="Times New Roman" w:cs="Times New Roman" w:eastAsia="Times New Roman" w:hAnsi="Times New Roman"/>
          <w:sz w:val="18"/>
          <w:szCs w:val="18"/>
          <w:color w:val="auto"/>
        </w:rPr>
        <w:t>The EV OEMs usually reach, manage, and serve their customers from digital portals such as vehicle owner apps or smart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 panels. We work closely with EV OEMs and smart car panel manufacturers to connect them to our systems which we have optimized and designed to ensure a user-friendly experience and a fully digitalized service offering. We believe that such a direct connection also allows us to reach end customers earlier, which can help enhance our consumer recognition and brand loyalty.</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New types of services. </w:t>
      </w:r>
      <w:r>
        <w:rPr>
          <w:rFonts w:ascii="Times New Roman" w:cs="Times New Roman" w:eastAsia="Times New Roman" w:hAnsi="Times New Roman"/>
          <w:sz w:val="18"/>
          <w:szCs w:val="18"/>
          <w:color w:val="auto"/>
        </w:rPr>
        <w:t>EVs utilize different power systems and body structures, which have created new types of auto services. We are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closely with both OEMs and our service providers to offer specific services for EV owners such as battery maintenance and changing, as well as AI-powered insurance recommendation and renewal services tailored to the EV ownership lifecycle.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auto eInsurance and integrated auto service markets in China are fragmented and competitive. We compete with online and offline insurance intermediaries and insurance companies to sell insurance products. We also compete with other integrated auto service providers that offer similar services to our auto services. As competition in China’s integrated auto service market intensifies, we believe that we are well-positioned to take advantage of opportunities in this growing industry due to our leadership position in the market, our validated technologies, our established customer base, and years of experience and industry knowledge from our management team.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 success of our business is dependent on our technology’s ability to support us in streamlining workflow, delivering superior user experience, securing data, increasing operational efficiency, and enabling future innovation. Our cloud-based digital platform is the foundation of our operations and supports our entire transaction process. We leverage AI, hybrid cloud, big data, and scalable technologies to continuously and iteratively upgrade our systems. We have developed digital systems and relevant online software and apps. These include a hybrid cloud, an online insurance portal, auto apps, an order allocation system, and embedded auto service modules. These systems also include various desktop and mobile applications utilized by our employees, clients, and partners. Key components of our technology systems include:</w:t>
      </w:r>
    </w:p>
    <w:p>
      <w:pPr>
        <w:spacing w:after="0" w:line="185" w:lineRule="exact"/>
        <w:rPr>
          <w:sz w:val="20"/>
          <w:szCs w:val="20"/>
          <w:color w:val="auto"/>
        </w:rPr>
      </w:pPr>
    </w:p>
    <w:p>
      <w:pPr>
        <w:jc w:val="both"/>
        <w:ind w:left="980" w:hanging="324"/>
        <w:spacing w:after="0" w:line="25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Plug-and-Play and flexible implementation: </w:t>
      </w:r>
      <w:r>
        <w:rPr>
          <w:rFonts w:ascii="Times New Roman" w:cs="Times New Roman" w:eastAsia="Times New Roman" w:hAnsi="Times New Roman"/>
          <w:sz w:val="18"/>
          <w:szCs w:val="18"/>
          <w:color w:val="auto"/>
        </w:rPr>
        <w:t>Our digital system empowers our enterprise customers with the ability to implement the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rapidly and cost-efficiently, with an average implementation period of less than two weeks. Our customers can choose a service category to customize a service solution while our operations and technical teams work seamlessly with the customer to perform the implementation and testing. Our digitalized service solution is embedded into the customer’s existing systems through Application Programming Interface (API), HTML 5, an Applet, or their own applications without disrupting their previous work processes, meanwhile providing full functionality to serve end customers. Our plug-in auto services are now implemented in over 1,400 of our customers’ diverse online applications.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Secured Hybrid Cloud and Data: </w:t>
      </w:r>
      <w:r>
        <w:rPr>
          <w:rFonts w:ascii="Times New Roman" w:cs="Times New Roman" w:eastAsia="Times New Roman" w:hAnsi="Times New Roman"/>
          <w:sz w:val="18"/>
          <w:szCs w:val="18"/>
          <w:color w:val="auto"/>
        </w:rPr>
        <w:t>We developed our hybrid cloud to support our multi-tenant digital platform, which processes massive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every day. Since many of our customers are banking, insurance, or other data-sensitive institutions, we maintain a financial institution’s level of cybersecurity throughout our systems to monitor and manage data traffic on a real-time basis. We also implement multiple layers of security measures to insulate our database from unauthorized access, along with sophisticated security protocols for communication among applications. We have obtained ISO:27001:2013 information security management system certification from China Cybersecurity Review Technology and Certification Center (CCRC) and S3A3 of Cybersecurity Protection Level by Shanghai Institution of Integrated Application of Network Technology.</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Innovation: </w:t>
      </w:r>
      <w:r>
        <w:rPr>
          <w:rFonts w:ascii="Times New Roman" w:cs="Times New Roman" w:eastAsia="Times New Roman" w:hAnsi="Times New Roman"/>
          <w:sz w:val="18"/>
          <w:szCs w:val="18"/>
          <w:color w:val="auto"/>
        </w:rPr>
        <w:t>We continue investing in R&amp;D for innovative solutions for our customers and partners. Our auto eInsurance solution helps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finish the insurance purchase process within a few minutes. Our multi-tenant platform has derived over 40 sub-systems which continually release new features for clients, partners, and our internal staff. We also work closely with EV OEMs and smart panel companies to deploy new features and services into their mobile applications or car panels to meet trends and customer expectations in the auto industry.</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Automation. </w:t>
      </w:r>
      <w:r>
        <w:rPr>
          <w:rFonts w:ascii="Times New Roman" w:cs="Times New Roman" w:eastAsia="Times New Roman" w:hAnsi="Times New Roman"/>
          <w:sz w:val="18"/>
          <w:szCs w:val="18"/>
          <w:color w:val="auto"/>
        </w:rPr>
        <w:t>We maintain a highly automated management process. For our auto eInsurance business, we embed modules with functions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real-time insurance quotes, inquiry, and underwriting decisions that connect to and automatically integrate with our insurance partners’ systems. Our auto service orders are also processed by our AI task scheduling system based on service category, location and time requirements, and distributed to the best available service providers. Our automation initiatives save time, costs, boost the efficiency of our enterprise customers, and increase their end customers’ satisfaction.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jc w:val="both"/>
        <w:ind w:left="980" w:hanging="324"/>
        <w:spacing w:after="0" w:line="258"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Managing complexity. </w:t>
      </w:r>
      <w:r>
        <w:rPr>
          <w:rFonts w:ascii="Times New Roman" w:cs="Times New Roman" w:eastAsia="Times New Roman" w:hAnsi="Times New Roman"/>
          <w:sz w:val="18"/>
          <w:szCs w:val="18"/>
          <w:color w:val="auto"/>
        </w:rPr>
        <w:t>We believe our multi-tenant digital platform plays a critical role in managing the growing complexity of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meeting customer expectations. We are working with over 1,520 enterprise customers, over 48,000 auto service providers, 35 insurance company groups, and over 64,000 insurance sales partners. Our platform and its 40 derived sub-systems support over 1,520 service solutions embedded in client applications. Our platform digitalizes and manages complex processes and interactions across all parties in the automotive ecosystem with their diverse business workflows.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 resilience. </w:t>
      </w:r>
      <w:r>
        <w:rPr>
          <w:rFonts w:ascii="Times New Roman" w:cs="Times New Roman" w:eastAsia="Times New Roman" w:hAnsi="Times New Roman"/>
          <w:sz w:val="18"/>
          <w:szCs w:val="18"/>
          <w:color w:val="auto"/>
        </w:rPr>
        <w:t>We have adopted various IT safety measures to enhance our information security, including firewalls, data encryption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intrusion detection. We utilize multiple data centers in different cities and maintain data redundancy through a real-time multi-layer data backup system to ensure the reliability of our systems. We have implemented a disaster recovery program which enables us to react appropriately in an emergency and instantly back up our data to an additional data center if needed. Our board of directors review our cybersecurity measures and cyber resilience on a semi-annual basis. As our suppliers and service providers rely on our digital platforms, they present minimal increase in cybersecurity risks. We work closely with our enterprise customers to ensure cyber resilience by integrating our digital platforms with their customary platforms and apps.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SunCar’s Hybrid Cloud Platform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built a hybrid cloud platform as its core infrastructure digital platform supporting various internal and external systems. To deliver our intelligent auto services and efficient online auto insurance, we have established this hybrid cloud platform capable of hosting massive amounts of data from our online and offline business partners. We developed the hybrid cloud platform with the assistance of a third-party cloud service provider in 2022. In 2022, the hybrid cloud platform had substantially completed development and entered regular operation and use.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SunCar hybrid cloud performs as a digital hub to aggregate various auto services from nationwide service providers and insurance products from mainstream insurers and intelligently deliver them to end customers. Since we cooperate with financial institutions, including banks and insurers that usually have high-level IT security demands, we have built a private cloud to meet the strict data security requirements of financial institutions. In addition to this private cloud, we have also established public cloud capabilities to realize extensive connectivity to service providers, end customers and other business applications. The hybrid cloud platform, consisting of public and private clouds, enables us to provide reliable and efficient services to both its institutional partners, end customers, and service providers.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SunCar hybrid cloud has the following features:</w:t>
      </w:r>
    </w:p>
    <w:p>
      <w:pPr>
        <w:spacing w:after="0" w:line="223" w:lineRule="exact"/>
        <w:rPr>
          <w:sz w:val="20"/>
          <w:szCs w:val="20"/>
          <w:color w:val="auto"/>
        </w:rPr>
      </w:pPr>
    </w:p>
    <w:p>
      <w:pPr>
        <w:ind w:left="980" w:right="20" w:hanging="324"/>
        <w:spacing w:after="0" w:line="284"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level compatibility</w:t>
      </w:r>
      <w:r>
        <w:rPr>
          <w:rFonts w:ascii="Times New Roman" w:cs="Times New Roman" w:eastAsia="Times New Roman" w:hAnsi="Times New Roman"/>
          <w:sz w:val="18"/>
          <w:szCs w:val="18"/>
          <w:color w:val="auto"/>
        </w:rPr>
        <w:t>: An open architecture to support heterogeneous resource pools such as VMW are and OpenStake, along with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federation which enable the unified management of private cloud and heterogeneous public cloud.</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 API</w:t>
      </w:r>
      <w:r>
        <w:rPr>
          <w:rFonts w:ascii="Times New Roman" w:cs="Times New Roman" w:eastAsia="Times New Roman" w:hAnsi="Times New Roman"/>
          <w:sz w:val="18"/>
          <w:szCs w:val="18"/>
          <w:color w:val="auto"/>
        </w:rPr>
        <w:t>: The SunCar hybrid cloud provides open API to enable business partners to connect their daily operations, maintenance,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IT approval management.</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Mature PaaS (Platform as a Service) architecture</w:t>
      </w:r>
      <w:r>
        <w:rPr>
          <w:rFonts w:ascii="Times New Roman" w:cs="Times New Roman" w:eastAsia="Times New Roman" w:hAnsi="Times New Roman"/>
          <w:sz w:val="18"/>
          <w:szCs w:val="18"/>
          <w:color w:val="auto"/>
        </w:rPr>
        <w:t>: The SunCar hybrid cloud uses distributed cache service, which is optimized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collaboration, with over 99.99% uptime, supporting cross AZ deployment, complete logging, monitoring and alarm functions.</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Multi-cloud fusion</w:t>
      </w:r>
      <w:r>
        <w:rPr>
          <w:rFonts w:ascii="Times New Roman" w:cs="Times New Roman" w:eastAsia="Times New Roman" w:hAnsi="Times New Roman"/>
          <w:sz w:val="18"/>
          <w:szCs w:val="18"/>
          <w:color w:val="auto"/>
        </w:rPr>
        <w:t>: SunCar hybrid cloud provides a MCP cloud container which can conduct unified monitoring, scheduling, and disaster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switching for business applications encapsulated in containers on different clouds in the case of multi cloud deployment, ensuring the RTO hour level dual activity of core businesses. SunCar hybrid cloud also addresses the dual center disaster tolerance and data protection requirements in multi-cloud scenarios. The hybrid cloud not only provides message queues and API gateway services, but also provides integration of data, services, messages and equipment, enabling unified management and authorities to realize efficient data integration between different systems.</w:t>
      </w:r>
    </w:p>
    <w:p>
      <w:pPr>
        <w:spacing w:after="0" w:line="182"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security</w:t>
      </w:r>
      <w:r>
        <w:rPr>
          <w:rFonts w:ascii="Times New Roman" w:cs="Times New Roman" w:eastAsia="Times New Roman" w:hAnsi="Times New Roman"/>
          <w:sz w:val="18"/>
          <w:szCs w:val="18"/>
          <w:color w:val="auto"/>
        </w:rPr>
        <w:t>: The hybrid hardware, operating system, operating environment, and services have been deployed with professional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reinforcement, resulting in security levels suitable for our financial institution partners such as banks and insurers.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SunCar’s AI Technology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2024, we established the Anji AI Technology Service Center (“ATSC”), leveraging DeepSeek AI capabilities to help our partners sell new policies, renewals, and extended warranties. The ATSC currently serves Tesla, Xiaomi, AVATR, and Zeekr, with plans to expand to additional customers.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leverage AI to enhance operations and customer experience through:</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flight delay alerts and intelligent order reminders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quality monitoring and automated analysis of car wash photos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Shortened response times and enhanced cross-selling capabilities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satisfaction metrics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2025, we completed the full integration of DeepSeek AI technology into our proprietary cloud-based service platform and car insurance SaaS solutions, marking a significant advancement in our AI-driven strategy. This integration transforms our service capabilities through:</w:t>
      </w:r>
    </w:p>
    <w:p>
      <w:pPr>
        <w:spacing w:after="0" w:line="162"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insurance recommendation precision via advanced risk profiling and customer need analysis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scheduling efficiency with real-time monitoring and maintenance alerts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Sophisticated user behavior analysis enabling highly personalized service delivery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implementation through our proprietary cloud-based platform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data security measures with enterprise-grade protection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first half of 2025, we completed the integration of ByteDance’s Doubao large language model (“LLM”) into our platform, marking a further step forward in SunCar’s AI-driven digitalization transformation. By combining Doubao LLM’s natural language and generative AI capabilities with our industry-specific intelligent cloud infrastructure, we have strengthened our “Cloud + AI” advantage and are accelerating our evolution into an intelligent, fully integrated service hub. These AI capabilities are focused on the electric vehicle market-China’s fastest-growing auto segment-and facilitate car owners’ transition from traditional to electric vehicles while generating AI-driven incremental revenue through targeted promotions and customized insurance and auto-service solutions.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regard our copyrights, service marks, trademarks, trade secrets, and other intellectual properties as critical to our success. We rely on trademarks and copyrights; trade secret protection; and non-competition, confidentiality, and license agreements with our employees, end consumers, partners, and others to protect our intellectual property rights. Before we launch any new products or services, we apply for registration of related trademarks, and software copyrights. As of December 31, 2025, we had 32 registered trademarks, 160 registered copyrights of computer software, and 6 registered domain names that are material to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Work Safety, Social and Environmental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employment contracts with our employees in accordance with the applicable PRC laws and regulations. Our employees’ manual contains policies and procedures regarding work safety and occupational health issues. We provide our employees with annual medical checks and safety training. Our human resources department is responsible for recording and handling work accidents as well as maintaining health and work safety compliance records.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last two years, we have not been subject to any fines or other penalties due to non-compliance with health, work safety, social or environmental regulations. We were not required to and did not pay any compensation to employees in respect of claims for personal or property damages.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legal proceedings in the ordinary course of our business. Except as disclosed under Notes 1, 21, and 22 to the audited financial statement for the fiscal year ended December 31, 2025 contained in this Report, we are currently not a party to any material legal or administrative proceedings.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Buy-Back Program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2025, the Board authorized a share repurchase program of up to $30 million over 12 months, funded through cash on hand and operating cash flows. As of December 31, 2025, the share purchase program has concluded, with SunCar having repurchased a total of 3,438,557 Class A Ordinary Shares. Such shares are currently as treasury shares pending to be cancelled.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Strategic Partnerships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2025, we continued to expand our enterprise partnerships across multiple sectors:</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EV OEMs and Technology Companies. </w:t>
      </w:r>
      <w:r>
        <w:rPr>
          <w:rFonts w:ascii="Times New Roman" w:cs="Times New Roman" w:eastAsia="Times New Roman" w:hAnsi="Times New Roman"/>
          <w:sz w:val="18"/>
          <w:szCs w:val="18"/>
          <w:color w:val="auto"/>
        </w:rPr>
        <w:t>We deepened our partnership with NIO by optimizing our system experience for all three of its brands-NIO, Onvo, and Firefly-significantly improving policy issuance efficiency. We partnered with Li Auto to develop a self-service insurance application within Li Auto’s customer app, with nationwide rollout completed in 2025. We successfully launched the digital insurance system for Leapmotor, covering policy renewals and claims processing. We deepened our collaboration with Tesla, adding a driver benefits package on Tesla’s official app and commencing partnership on Tesla’s digital insurance renewals business. We strengthened our Xiaomi partnership by becoming the primary partner for digital insurance renewals, mitigating policy lapse risk. We expanded cooperation with XPeng to support online sales of extended warranties and service products. We won the bid for the Huawei HarmonyOS Smart Car Alliance and initiated a strategic partnership with Huawei. We acquired Jiangxi Jiayi Auto Insurance Agency to expand our regional coverage in Jiangxi Province. We signed a new agreement with China Post, expanding our distribution network by 174 additional partner stores in 2025.</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 Companies. </w:t>
      </w:r>
      <w:r>
        <w:rPr>
          <w:rFonts w:ascii="Times New Roman" w:cs="Times New Roman" w:eastAsia="Times New Roman" w:hAnsi="Times New Roman"/>
          <w:sz w:val="18"/>
          <w:szCs w:val="18"/>
          <w:color w:val="auto"/>
        </w:rPr>
        <w:t>We secured in-policy designated driver contracts with 13 provincial branches of PICC, including Beijing, Shanghai,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Zhejiang, Yunnan, and Xinjiang, each structured as a “one-plus-one” renewable arrangement. We expanded our Ping An P&amp;C partnership, adding car cleaning and detailing services in Xinjiang, Tibet, and Guizhou, winning a bid for designated driver services with Ping An’s Sichuan branch, and establishing airport lounge service cooperation with Ping An headquarters. We established a framework agreement with Dadi P&amp;C’s headquarters and commenced service collaborations with retail divisions of its Zhejiang, Jiangsu, Henan, and Beijing branches. We also established additional partnerships with Pacific Insurance (Zhejiang and Jiangsu branches) and Taiping P&amp;C (Guizhou branch).</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Banks. </w:t>
      </w:r>
      <w:r>
        <w:rPr>
          <w:rFonts w:ascii="Times New Roman" w:cs="Times New Roman" w:eastAsia="Times New Roman" w:hAnsi="Times New Roman"/>
          <w:sz w:val="18"/>
          <w:szCs w:val="18"/>
          <w:color w:val="auto"/>
        </w:rPr>
        <w:t>We successfully won the bid for an innovative auto services project with China ZheShang Bank, integrating driver maintenance, fueling,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driver, and parking services. We were named the exclusive mobility services provider for Shanghai Rural Commercial Bank, deepening a relationship that had previously spanned 10 years. We successfully bid for the China Construction Bank Sichuan Province Branch Dragon Card Auto Card Car Wash Benefits Procurement Project. Our long-standing relationship with Ping An Bank was renewed for 2025, with SunCar continuing to serve as the preferred aftermarket service provider for Ping An Bank’s Credit Card Center and Automotive Consumer Finance Center.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SunCar conducts its operations in China primarily through its PRC Operating Entities. ASGL was incorporated under the laws of the British Virgin Islands on September 19, 2012 and continued in the Cayman Islands in accordance with applicable laws. SunCar, including all of its subsidiaries, does not have variable interest entity (“VIE”) structure. SunCar is a holding company and conduct substantially all of its business in China through its subsidiaries in China (the “PRC Operating Entities”). It may rely on dividends to be paid by its PRC Operating Entities to fund its cash and financing requirements, including the funds necessary to pay dividends and other cash distributions to shareholders, to service any debt and to pay our operating expenses. Upon consummation of the Business Combination, ASGL and Goldenbridge became wholly owned subsidiaries of SunCar.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PRC laws and regulations, the PRC Operating Entities may pay dividends only out of their accumulated profits as determined in accordance with PRC accounting standards and regulations. In addition, the PRC Operating Entities are required to set aside at least 10% of its after-tax profits each year, if any, to fund a statutory reserve until such reserve reaches 50% of its registered capital. Each of such entity in China is also required to further set aside a portion of its after-tax profits to fund the employee welfare fund, although the amount to be set aside, if any, is determined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 In addition, the Enterprise Income Tax Law, or EIT,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8" w:name="page69"/>
    <w:bookmarkEnd w:id="68"/>
    <w:p>
      <w:pPr>
        <w:ind w:firstLine="648"/>
        <w:spacing w:after="0" w:line="282" w:lineRule="auto"/>
        <w:rPr>
          <w:sz w:val="20"/>
          <w:szCs w:val="20"/>
          <w:color w:val="auto"/>
        </w:rPr>
      </w:pPr>
      <w:r>
        <w:rPr>
          <w:rFonts w:ascii="Times New Roman" w:cs="Times New Roman" w:eastAsia="Times New Roman" w:hAnsi="Times New Roman"/>
          <w:sz w:val="18"/>
          <w:szCs w:val="18"/>
          <w:color w:val="auto"/>
        </w:rPr>
        <w:t>The chart below summarizes our corporate structure and identifies our principal subsidiaries, where the entities below the dashed line are organized in PRC under PRC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114300</wp:posOffset>
            </wp:positionV>
            <wp:extent cx="5340350" cy="5734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0350"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Beijing Beisheng United insurance Agency Co. Limited is 80% owned by Shangshi Dalian Insurance Agency Co., Limited and 20% owned by Beijing Media Corporation Limited.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lease the property for our principal executive office, which is located on is Suite 209, No. 656 Lingshi Road, Jing’an District, Shanghai, 200072, People’s Republic of China. Please also see Item 4.B entitled “Business of SunCar”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business of the Company is conducted through the Company’s indirect, wholly-owned subsidiaries in China.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this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 leading provider of cloud and mobile app-based auto eInsurance services, technology services, and auto services in China.</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our auto eInsurance business, we facilitate the sale of auto insurance products underwritten by major insurance companies in China. We receive commissions from these insurance companies, which are typically a percentage of the premium paid by the policy holders. We implement, automate, and streamline the insurance purchasing process through our proprietary cloud and mobile apps which connect our customers to the full spectrum of products from the leading insurers in China. The auto insurance premiums for EVs increased from US$1,020.4 million for the year ended December 31, 2024 to US$1,524.0 million for the year ended December 31, 2025, representing a year-over-year growth of 49.3%. Therefore, the revenue from EV insurance services amounted to US$66.2 million for the year ended December 31, 2025, as compared to US$44.0 million for the year ended December 31, 2024, representing a significant increase of 50.6%.</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our technology services business by providing technical software and consultation related to auto eInsurance and auto services. We have built modular software tools, such as customer relationship management (CRM), order management, finance management, and visual analysis systems, which run on our proprietary hybrid cloud platform. Our insurance sales partners and auto services providers use all or some of these online tools to manage their daily work, allowing them the opportunity to monetize the software we have built.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our auto service business by offering customized auto services to our enterprise customers (our “auto service partners”), which include major banks, insurance companies, and other enterprises that have end customer demands for auto services. These auto services include necessary maintenance as well as regular detailing services. Our auto services are ultimately provided to end-consumers of our enterprise customers by the auto service providers we select to be suppliers on our service network.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Factors Impacting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Relationships with Customers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our auto eInsurance business, we distribute auto insurance products on behalf of well-known insurance companies in China. For our auto service business, our customers are enterprises, primarily consisting of banks, insurance companies, telecom companies, airlines and other large corporations. It is critical for us to maintain good relationships and obtain recognition from both our enterprise customers and their end customers. We focus on growing our business, building our brand influence, and improving the quality of service in order to attract new customers, solidify relationships with existing customers, and deliver satisfactory service experience to the end-consumers. Positive feedback from the end-consumers encourages our customers to deepen their business relations with us.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Cooperation with Service Providers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auto eInsurance business, we collaborate with a variety of external referral sources to expand our market penetration and broaden our customer base. We have built up a network of external sales partners, including offline after-sales networks who have frequent exposure to car owners, major online platforms with significant user traffic, and emerging EV OEMs and service providers. Our strong relationships with external referral sources are crucial for us to attract end customers for our auto eInsurance business.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auto service business, we rely on auto service providers to deliver a variety of auto-related services to the end customers of our enterprise customers. Positive feedback from end customers is dependent on the quality of service provided by our service providers. If our relationships with our service providers deteriorate, our business, financial condition, and results of operations may be materially and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Efficiency of our Business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we expect our operating costs and expenses to increase as our business grows, we also expect them to decrease as a percentage of revenues as we improve our operating efficiency and achieve greater economies of scale.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synergies between our auto eInsurance and auto service businesses enable the symbiotic growth of both segments. As we continue to develop our nationwide automotive service provider network, these service providers become sales partners in our auto eInsurance business. Conversely, when we engage with insurance companies to sell their insurance products, we also engage them as customers of our auto service.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built on a multi-tenant cloud platform which we have continued to integrate into both our customers systems as well as our service and sales networks. We are in the process of adding AI intelligence and digital processes to all our internal workflows as well as to the related business processes of our partners, empowering them with efficient and user-friendly tools and systems. We continue to deploy cutting-edge technology including AI, big data, and Robotics Process Automation (“RPA”), to iteratively upgrade our platform with new features and better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auto eInsurance business, like all insurance-related businesses in China, is extensively regulated by the China Banking and Insurance Regulatory Commission (“CBIRC”), and is subject to applicable PRC laws and regulations, including but not limited to the PRC Insurance Law and Regulatory Provisions on Professional Insurance Agencies. Key aspects of our auto eInsurance business that are subject to regulation include the terms and premium rates of the insurance products we distribute on behalf of major insurance companies, the commission rates we earn, and our overall auto eInsurance business operations. Changes in regulations or administrative measures that restrict or reduce insurance premiums or insurance agency commissions could have a material adverse impact on the revenue and profitability of our auto eInsurance business. This is particularly the case if we are not able to increase our policy volume and sales efficiency to compensate for the effect of such regulatory changes or pass on any downward impact on our revenue to external participants in the insurance supply chain.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Global Inflationary Pressures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two types of possible inflationary pressure: a general pressure from an inflation-related economic slowdown, and a specific pressure from inflation on the price of fuel. First, we consider the impact of inflation on the business is immaterial as the operations are in China and China’s inflation rates have been relatively stable in the last three years: approximately 0.2%, 0.2% and 0.0% for the years ended December 31, 2023, 2024 and 2025, respectively. Second, the inflationary environment, driven by the ongoing geopolitical tensions from the U.S.-Iran conflict that erupted in February 2026, has continued to impact the global economy. The resulting surge in fossil fuel prices has a broader impact on the automobile industry, which remains heavily dependent on fossil fuels. Higher fuel prices may reduce vehicle usage and could negatively affect automobile demand. As a result, automotive-related industries, including insurance, technology services, and auto service sectors in which we operate, may also be adversely impacted. However, we anticipate such impact to be limited, since we have been working directly with car manufacturers and collaborate with the insurance companies to develop insurance products designed for EVs. We believe that, as EVs become increasingly popular, insurance for EVs can effectively increase our revenue and offset the adverse impact brought by the increased fuel prices.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historical data and other assumptions that we believe are reasonable after taking account of our circumstances and expectations for the future based on available information. We evaluate these estimates and assumptions on an ongoing basis.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Annual Report. When reviewing its financial statements, you should consider:</w:t>
      </w:r>
    </w:p>
    <w:p>
      <w:pPr>
        <w:spacing w:after="0" w:line="176"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of critical accounting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judgments and other uncertainties affecting the application of such policies;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reported results to changes in conditions and assumptions.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an accounting estimates to be critical if: (i) the accounting estimates requires us to make assumptions about matters that were highly uncertain at the time the accounting estimate was made, and (ii) changes in the estimates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revenue recognition; (ii) allowance for credit losses; (iii) valuation allowances of deferred tax assets; and (iv) useful lives of software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our continuing operations are mainly generated from providing auto eInsurance services, technology services, and auto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eInsurance</w:t>
      </w:r>
    </w:p>
    <w:p>
      <w:pPr>
        <w:spacing w:after="0" w:line="22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8"/>
          <w:szCs w:val="18"/>
          <w:color w:val="auto"/>
        </w:rPr>
        <w:t>We provide insurance intermediation services by distributing primarily vehicle insurance on behalf of insurance companies and charge them commissions based on a percentage of premiums paid by the insured. In accordance with ASC 606-10-25-14 and 25-19, we identify the insurance intermediation service as a single performance obligation. We have determined that this service is distinct as: (i) the insurance companies (the customers) can benefit from the distribution service on their own through the successful execution of insurance policies and the resulting premium inflows; and (ii) our promise to transfer the intermediation service is separately identifiable from other promises in the contract. The service does not involve a significant integration service, nor does it significantly modify or customize the insurance products, and it is not highly interdependent with other services provided by us.</w:t>
      </w:r>
    </w:p>
    <w:p>
      <w:pPr>
        <w:spacing w:after="0" w:line="18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8"/>
          <w:szCs w:val="18"/>
          <w:color w:val="auto"/>
        </w:rPr>
        <w:t>Revenue is recognized at a point in time when an insurance policy becomes effective, which occurs when the signed insurance policy is in place and the premium is collected from the insured. Although our efforts are performed when the policy is sold, the criteria for contract identification under ASC 606-10-25-19 are only satisfied when the premium is received. Prior to this point, the collectability of the commission is not considered probable. Accordingly, we do not accrue any commission revenue prior to reperceiving related premiums. No allowance for cancellation is provided as historical cancellations have been rare and immaterial.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both"/>
        <w:ind w:firstLine="720"/>
        <w:spacing w:after="0" w:line="258" w:lineRule="auto"/>
        <w:rPr>
          <w:sz w:val="20"/>
          <w:szCs w:val="20"/>
          <w:color w:val="auto"/>
        </w:rPr>
      </w:pPr>
      <w:r>
        <w:rPr>
          <w:rFonts w:ascii="Times New Roman" w:cs="Times New Roman" w:eastAsia="Times New Roman" w:hAnsi="Times New Roman"/>
          <w:sz w:val="18"/>
          <w:szCs w:val="18"/>
          <w:color w:val="auto"/>
        </w:rPr>
        <w:t>In accordance with ASC 606-10-55-37A and 55-39, we have determined that it acts as an agent in these transactions. The Group does not control the insurance policy before it is transferred to the insurance policy. Specifically: (i) the insurance companies, not us, are primarily responsible for fulfilling the insurance coverage to the insured; (ii) we do not bear any inventory risk related to the insurance policies; and (iii) the Company has no discretion in establishing the insurance premiums, which are set by the insurance companies. Therefore, revenue is recognized on a net basis in the amount of commission to which we are entitled.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Services</w:t>
      </w:r>
    </w:p>
    <w:p>
      <w:pPr>
        <w:spacing w:after="0" w:line="225"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18"/>
          <w:szCs w:val="18"/>
          <w:color w:val="auto"/>
        </w:rPr>
        <w:t>We provide technology services including technical software and consulting related to automobile services and insurance, such as customer relationship management (CRM), order management, finance management and visual analysis systems.</w:t>
      </w:r>
    </w:p>
    <w:p>
      <w:pPr>
        <w:spacing w:after="0" w:line="16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8"/>
          <w:szCs w:val="18"/>
          <w:color w:val="auto"/>
        </w:rPr>
        <w:t>In accordance with ASC 606-10-25-14 and 25-19, we identify the technology service as a single performance obligation. Although the service includes both software access and technical consulting/support, the Group has determined that these components are not separately identifiable within the context of the contract. The software and consulting services are highly interrelated and interdependent, as the software is a self-developed proprietary system that requires our ongoing integration, data maintenance, and technical updates to remain functional and relevant to the customer’s specific automobile and insurance service needs. Therefore, the software and related consulting are treated as a combined output delivered over the service period.</w:t>
      </w:r>
    </w:p>
    <w:p>
      <w:pPr>
        <w:spacing w:after="0" w:line="18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We satisfy our performance obligation over time during the service period, as the customer simultaneously receives and consumes the benefits of our services through access and support. Revenue is recognized on a straight-line basis over the contractual term, typically charged at a fixed price per month. The transaction price is allocated entirely to this single combined performance obligation. We do not have significant variable considerations, and the payment terms generally require monthly settlement, which does not involve a significant financing component.</w:t>
      </w:r>
    </w:p>
    <w:p>
      <w:pPr>
        <w:spacing w:after="0" w:line="1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In accordance with ASC 606-10-55-37A and 55-39, We have determined it acts as the principal in these transactions. We control the technical software and consulting services before they are transferred to the customer. This is evidenced by the fact that: (i) we are primarily responsible for fulfilling the promise to provide the integrated system and ensure its functionality; (ii) we own the intellectual property of the software and bear the risk of service delivery; and (iii) we have full discretion in establishing the price for the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Services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enterprise customers as our customers and sell auto service coupons to enterprise customers, where each coupon represents one specific auto service. There are various service types that include vehicle washing, waxing, maintenance, transportation services and roadside assistance. We only provide one specific service among various service types for each specific service coupon. We identify each specific service coupon as a contract that establishes enforceable rights and obligations for each party. We charge the service fee at a fixed price per service when the service is performed. For service coupons with limited duration, we either charge the service fee at a fixed price per service when the service is performed or when the coupon expires, whether or not the service has been performed. We consider each service coupon to be a distinct service that is capable of providing a benefit to the customer on its own according to ASC 606-10-25-14(a). Therefore, we identify only one performance obligation under a contract, which is to provide a specific service or to stand ready to perform a specific service within a limited duration. We act as a principal as we control access to the services before the services are provided to customers and we have the ability to direct other parties to provide the services to customers on our behalf. Specifically, we have the ability to choose service providers and are primarily responsible for the acceptability for the service meeting customer specifications, bears inventory risk after transfer of control of services to customers, and has the discretion in establishing the price with customers and with service providers and bears credit risk. We recognize revenue in the gross amount of consideration at a point of time when the service is provided, or when the service coupon expires. We do not provide refunds to the customers when a coupon is expired but not used.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net, are stated at the original amounts less allowances for credit losses. Accounts receivable are recognized in the period when we have provided services to our customers and when our right to consideration is unconditional. We adopted ASC Topic 326, Financial Instruments-Credit Losses (Topic 326) from January 1, 2023, using modified-retrospective transition approach with a cumulative-effect adjustment to shareholders’ equity amounting to US$0.5 million recognized as of January 1, 2023. We assess collectability by reviewing accounts receivable on a collective basis where similar characteristics exist, primarily based on similar business lines, and on an individual basis when we identify specific customers with known disputes or collectability issues. In determining the amount of the allowance for credit losses, we consider historical collectability based on past due status, the age of the accounts receivable balances, credit quality of our customers based on ongoing credit evaluations, current economic conditions, reasonable and supportable forecasts of future economic conditions, and other factors that may affect our ability to collect from customers.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we reversed credit losses of accounts receivable of US$4.1 million, recognized credit losses of US$1.3 million, and US$3.7 million, respectively. A 10% increase in our credit losses (reversal) provision would have (decreased) increased our loss before income tax by (3)%, 0.2% and 18% for the years ended December 31, 2023, 2024 and 2025,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 of Deferred Tax Assets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in the opinion of management, it is more likely than not that some portion or all of the deferred tax assets will not be realized. We consider positive and negative evidence when determining whether a portion or all of our deferred tax assets will more likely than not be realized. This assessment considers, among other matters, the nature, frequency and severity of current and cumulative losses, forecasts of future profitability, the duration of statutory carry-forward periods, our experience with tax attributes expiring unused, and our tax planning strategies. The ultimate realization of deferred tax assets is dependent upon our ability to generate sufficient future taxable income within the carry-forward periods provided for in the tax law and during the periods in which the temporary differences become deductible. When assessing the realization of deferred tax assets, we have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2024 and 2025, We recognized a valuation allowance of deferred tax assets of US$4.5 million, US$2.3 million and reversed valuation allowance of deferred tax assets of US$0.6 million, respectively. A 10% increase in our valuation allowance of deferred tax assets would have increased net losses by 3% and 0.4% for the years ended December 31, 2023 and 2024, respectively, while a corresponding 10% reversal would have decrease net loss by 2.7% for the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Useful Lives of Property, Software and Equipment</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estimated useful lives of the property, software and equipment are based on the management’s best estimation, which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 useful lives</w:t>
            </w:r>
          </w:p>
        </w:tc>
      </w:tr>
      <w:tr>
        <w:trPr>
          <w:trHeight w:val="216"/>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3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5, 10 years</w:t>
            </w:r>
          </w:p>
        </w:tc>
      </w:tr>
      <w:tr>
        <w:trPr>
          <w:trHeight w:val="198"/>
        </w:trPr>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Over the shorter of the lease term or the</w:t>
            </w:r>
          </w:p>
        </w:tc>
      </w:tr>
      <w:tr>
        <w:trPr>
          <w:trHeight w:val="234"/>
        </w:trPr>
        <w:tc>
          <w:tcPr>
            <w:tcW w:w="39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estimated useful lives of the assets</w:t>
            </w:r>
          </w:p>
        </w:tc>
      </w:tr>
      <w:tr>
        <w:trPr>
          <w:trHeight w:val="547"/>
        </w:trPr>
        <w:tc>
          <w:tcPr>
            <w:tcW w:w="39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Revenues are derived from auto eInsurance service, technology service, and auto service. The following table sets forth the breakdown of our total revenues, both in absolute amount and as a percentage of our total revenues, for the years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7"/>
        </w:trPr>
        <w:tc>
          <w:tcPr>
            <w:tcW w:w="3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6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eInsurance service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118,109</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170,549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212,568</w:t>
            </w: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30,658</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44,892</w:t>
            </w:r>
          </w:p>
        </w:tc>
        <w:tc>
          <w:tcPr>
            <w:tcW w:w="4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53,619</w:t>
            </w:r>
          </w:p>
        </w:tc>
        <w:tc>
          <w:tcPr>
            <w:tcW w:w="4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service</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214,979</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226,456</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223,104</w:t>
            </w:r>
          </w:p>
        </w:tc>
        <w:tc>
          <w:tcPr>
            <w:tcW w:w="4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3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363,746</w:t>
            </w:r>
          </w:p>
        </w:tc>
        <w:tc>
          <w:tcPr>
            <w:tcW w:w="2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441,897</w:t>
            </w:r>
          </w:p>
        </w:tc>
        <w:tc>
          <w:tcPr>
            <w:tcW w:w="2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489,291</w:t>
            </w:r>
          </w:p>
        </w:tc>
        <w:tc>
          <w:tcPr>
            <w:tcW w:w="2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3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Auto eInsurance Service. </w:t>
      </w:r>
      <w:r>
        <w:rPr>
          <w:rFonts w:ascii="Times New Roman" w:cs="Times New Roman" w:eastAsia="Times New Roman" w:hAnsi="Times New Roman"/>
          <w:sz w:val="18"/>
          <w:szCs w:val="18"/>
          <w:color w:val="auto"/>
        </w:rPr>
        <w:t>We provide auto eInsurance service distributing automobile insurance products on behalf of insurance companies. Auto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eInsurance services are considered to be rendered and completed, and revenue is recognized when the insurance policy becomes effective, i.e. when the signed insurance policy is in place and the premium is collected from the insured. We recognize revenue when the premiums are collected by the respective insurance companies, because collectability is not ensured until receipt of the premium. Accordingly, we do not accrue any commission fees prior to the receipt of the relevant premiums.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Technology Service. </w:t>
      </w:r>
      <w:r>
        <w:rPr>
          <w:rFonts w:ascii="Times New Roman" w:cs="Times New Roman" w:eastAsia="Times New Roman" w:hAnsi="Times New Roman"/>
          <w:sz w:val="18"/>
          <w:szCs w:val="18"/>
          <w:color w:val="auto"/>
        </w:rPr>
        <w:t>We operate our technology service business by providing technical software and consultation related to automobile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insurance, including modular management tools such as customer relationship management, order management, finance management and visual analysis systems. For the use of our technology services, we charge technology service fees based on fixed prices per service period (usually one month) for service provided and recognize revenue over time during the service period.</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Auto Service. </w:t>
      </w:r>
      <w:r>
        <w:rPr>
          <w:rFonts w:ascii="Times New Roman" w:cs="Times New Roman" w:eastAsia="Times New Roman" w:hAnsi="Times New Roman"/>
          <w:sz w:val="18"/>
          <w:szCs w:val="18"/>
          <w:color w:val="auto"/>
        </w:rPr>
        <w:t>We provide customized auto service to enterprises, who ultimately offer them to their end customers. These services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maintenance and regular services such as car wash, oil change, tire repair, car beautification, road assistance, flight pickup, designated driving, and VIP lounge. We charge a service fee either based on the number of service items completed at a fixed price per item or charge for service coupons with a limited duration term, whether or not the services have been performed. We act as the principal supplier and control access to the services before providing them to end customers. Therefore, we recognize revenue in the gross amount of consideration at the point of time when services are provided, or upon expiration of unused service coupons with limited duration.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operating costs and expenses, both in absolute amounts and as a percentage of total revenues, for the years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3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6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209,553</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226,172</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241,510</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112,504</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164,262</w:t>
            </w:r>
          </w:p>
        </w:tc>
        <w:tc>
          <w:tcPr>
            <w:tcW w:w="4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197,045</w:t>
            </w:r>
          </w:p>
        </w:tc>
        <w:tc>
          <w:tcPr>
            <w:tcW w:w="5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20,578</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22,587</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18,900</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22,462</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46,995</w:t>
            </w:r>
          </w:p>
        </w:tc>
        <w:tc>
          <w:tcPr>
            <w:tcW w:w="4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18,990</w:t>
            </w:r>
          </w:p>
        </w:tc>
        <w:tc>
          <w:tcPr>
            <w:tcW w:w="5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40,244</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8,961</w:t>
            </w: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3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379,208</w:t>
            </w:r>
          </w:p>
        </w:tc>
        <w:tc>
          <w:tcPr>
            <w:tcW w:w="220" w:type="dxa"/>
            <w:vAlign w:val="bottom"/>
            <w:tcBorders>
              <w:top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500,260</w:t>
            </w:r>
          </w:p>
        </w:tc>
        <w:tc>
          <w:tcPr>
            <w:tcW w:w="220" w:type="dxa"/>
            <w:vAlign w:val="bottom"/>
            <w:tcBorders>
              <w:top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485,406</w:t>
            </w:r>
          </w:p>
        </w:tc>
        <w:tc>
          <w:tcPr>
            <w:tcW w:w="220" w:type="dxa"/>
            <w:vAlign w:val="bottom"/>
            <w:tcBorders>
              <w:top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47"/>
        </w:trPr>
        <w:tc>
          <w:tcPr>
            <w:tcW w:w="3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75" w:name="page76"/>
    <w:bookmarkEnd w:id="75"/>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Integrated service cost. </w:t>
      </w:r>
      <w:r>
        <w:rPr>
          <w:rFonts w:ascii="Times New Roman" w:cs="Times New Roman" w:eastAsia="Times New Roman" w:hAnsi="Times New Roman"/>
          <w:sz w:val="18"/>
          <w:szCs w:val="18"/>
          <w:color w:val="auto"/>
        </w:rPr>
        <w:t>The integrated service cost primarily consists of (i) service fees paid to suppliers engaged to provide technical support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technology service and (ii) service fees paid to auto service providers to provide customized service for end customers of its enterprise customers. The service fee is determined based on and recognized in the period of the actual services rendered.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Promotional Service Expenses. </w:t>
      </w:r>
      <w:r>
        <w:rPr>
          <w:rFonts w:ascii="Times New Roman" w:cs="Times New Roman" w:eastAsia="Times New Roman" w:hAnsi="Times New Roman"/>
          <w:sz w:val="18"/>
          <w:szCs w:val="18"/>
          <w:color w:val="auto"/>
        </w:rPr>
        <w:t>Promotional service expenses represent (i) promotional service fees to expand extensive networks primarily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 eInsurance sales partners and (ii) service fees we pay to promotion channels, including but not limited to offline after-sales networks, online platforms, and emerging EV OEMs and service providers. Promotional service expenses are recognized in the period incurred.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Selling expenses primarily consist of (i) salaries and employment benefits for employees who work in the service lines,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promotional service fees, (iii) communication and travel expenses, and (iv) depreciation expenses related to sales. Depreciation expenses are calculated on a straight-line basis over the estimated useful lives of the assets.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primarily consist of (i) staff costs, rental and depreciation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general and administrative personnel, (ii) share-based compensation expenses, and (iii) other corporate expenses.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primarily consist of payroll and employee benefits for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employees, rental expenses, utilities, and other related expenses to design, develop, and maintain the technology service platform and to support its internal and external customers, and for share-based compensation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with year ended December 31, 2024</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audited consolidated results of operations for the years indicated. This information should be read together with audited consolidated financial statements and related notes included elsewhere in this Annual Report. The operating results in any period are not necessarily indicative of the results that may be expected for any future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eInsurance service</w:t>
            </w:r>
          </w:p>
        </w:tc>
        <w:tc>
          <w:tcPr>
            <w:tcW w:w="1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170,549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212,568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42,019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44,892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53,619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8,727</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service</w:t>
            </w: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226,456</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223,104</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(3,352)</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441,897</w:t>
            </w: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489,291</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47,394</w:t>
            </w: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(226,172)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(241,510)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(15,338)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expenses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(164,262)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(197,045)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(32,783)</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(22,587)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(46,995)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(18,990)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28,005</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(40,244)</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(8,961)</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31,283</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(500,260)</w:t>
            </w: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(485,406)</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14,854</w:t>
            </w: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(58,363)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3,885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62,248</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of fair value of warrant liabilities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income/(expenses), net</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(2,748)</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(3,542)</w:t>
            </w: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7"/>
        </w:trPr>
        <w:tc>
          <w:tcPr>
            <w:tcW w:w="4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vMerge w:val="continue"/>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(61,600)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59,547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(2,853)</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2,507</w:t>
            </w: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4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vMerge w:val="continue"/>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(64,453)</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62,054</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difference</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(1,524)</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2,818</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4,342</w:t>
            </w: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7"/>
        </w:trPr>
        <w:tc>
          <w:tcPr>
            <w:tcW w:w="4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1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0"/>
        </w:trPr>
        <w:tc>
          <w:tcPr>
            <w:tcW w:w="4260" w:type="dxa"/>
            <w:vAlign w:val="bottom"/>
            <w:vMerge w:val="continue"/>
            <w:shd w:val="clear" w:color="auto" w:fill="CCEEFF"/>
          </w:tcPr>
          <w:p>
            <w:pPr>
              <w:spacing w:after="0"/>
              <w:rPr>
                <w:sz w:val="21"/>
                <w:szCs w:val="21"/>
                <w:color w:val="auto"/>
              </w:rPr>
            </w:pPr>
          </w:p>
        </w:tc>
        <w:tc>
          <w:tcPr>
            <w:tcW w:w="1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(65,977</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66,396</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total revenue increased by 11% from US$441.9 million for the year ended December 31, 2024 to US$489.3 million for the year ended December 31, 2025.</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Auto eInsurance service. </w:t>
      </w:r>
      <w:r>
        <w:rPr>
          <w:rFonts w:ascii="Times New Roman" w:cs="Times New Roman" w:eastAsia="Times New Roman" w:hAnsi="Times New Roman"/>
          <w:sz w:val="18"/>
          <w:szCs w:val="18"/>
          <w:color w:val="auto"/>
        </w:rPr>
        <w:t>Auto eInsurance service revenue increased by 25% from US$170.5 million for the year ended December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US$212.6 million for the year ended December 31, 2025, which was driven by the increasing number of insurance policies sold for the year ended December 31, 2025. This growth was supported, in part, by the continued expansion of EV adoption in recent years. Revenue from EV insurance services amounted to US$66.2 million for the year ended December 31, 2025, as compared to US$44.0 million for the year ended December 31, 2024, representing an increase of 50.6%.</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Technology service. </w:t>
      </w:r>
      <w:r>
        <w:rPr>
          <w:rFonts w:ascii="Times New Roman" w:cs="Times New Roman" w:eastAsia="Times New Roman" w:hAnsi="Times New Roman"/>
          <w:sz w:val="18"/>
          <w:szCs w:val="18"/>
          <w:color w:val="auto"/>
        </w:rPr>
        <w:t>Technology service revenue increased by 19% from US$44.9 million for the year ended December 31, 2024 to US$53.6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2025. With growing demands to efficiently manage their businesses, more enterprise customers are now paying for our online tools to streamline their business workflows, manage their customer relationships and automate orders processing. With the iterative upgrades of our technology, we are working on developing a SaaS model product offering and plan to gradually turn our enterprise customers into our technology service customers. Through the application of our Private Cloud Platform, our development process was simplified, and we can easily integrate various tools for software development, testing, operations and maintenance. This has strengthened our software platform and increased our business capacity to better serve the customers’ needs.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Auto service. </w:t>
      </w:r>
      <w:r>
        <w:rPr>
          <w:rFonts w:ascii="Times New Roman" w:cs="Times New Roman" w:eastAsia="Times New Roman" w:hAnsi="Times New Roman"/>
          <w:sz w:val="18"/>
          <w:szCs w:val="18"/>
          <w:color w:val="auto"/>
        </w:rPr>
        <w:t>Auto service revenue decreased by 1% from US$226.5 million for the year ended December 31, 2024 to US$223.1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2025. The slight change was primarily due to a modest decrease in service orders during the year.</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Operating costs and expenses decreased by 3% from US$500.3 million for the year ended December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US$485.4 million for the year ended December 31, 2025.</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Integrated service cost. </w:t>
      </w:r>
      <w:r>
        <w:rPr>
          <w:rFonts w:ascii="Times New Roman" w:cs="Times New Roman" w:eastAsia="Times New Roman" w:hAnsi="Times New Roman"/>
          <w:sz w:val="18"/>
          <w:szCs w:val="18"/>
          <w:color w:val="auto"/>
        </w:rPr>
        <w:t>Integrated service costs increased by 7% from US$226.2 million for the year ended December 31, 2024 to US$241.5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2025. The increase in integrated service costs was primarily due to the revenue growth of technology service and an increase in auto service cost.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Promotional service expenses</w:t>
      </w:r>
      <w:r>
        <w:rPr>
          <w:rFonts w:ascii="Times New Roman" w:cs="Times New Roman" w:eastAsia="Times New Roman" w:hAnsi="Times New Roman"/>
          <w:sz w:val="18"/>
          <w:szCs w:val="18"/>
          <w:color w:val="auto"/>
        </w:rPr>
        <w:t>. Promotional service expenses increased by 20% from US$164.3 million for the year ended December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US$197.0 million for the year ended December 31, 2025. The increase in promotional service expenses was in line with the increase in revenue in our auto eInsurance service.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Selling expenses decreased by 16% from US$22.6 million for the year ended December 31, 2024 to US$18.9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 primarily due to our continuous efforts to improve marketing efficiency, resulting in a reduction of US$4.3 million in online digital marketing and new media advertising expenses incurred to support the Group’s technology services business.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60% from US$47.0 million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to US$19.0 million for the year ended December 31, 2025, primarily due to the decrease of US$31.5 million in share-based compensation expense related to 2024 Equity Incentive Plan.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77" w:name="page78"/>
    <w:bookmarkEnd w:id="77"/>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by 78% from US$40.2 million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to US$9.0 million for the year ended December 31, 2025, primarily due to decrease of US$31.0 million in relation to 2024 Equity Incentive Plan.</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loss and Adjusted EBITDA. </w:t>
      </w:r>
      <w:r>
        <w:rPr>
          <w:rFonts w:ascii="Times New Roman" w:cs="Times New Roman" w:eastAsia="Times New Roman" w:hAnsi="Times New Roman"/>
          <w:sz w:val="18"/>
          <w:szCs w:val="18"/>
          <w:color w:val="auto"/>
        </w:rPr>
        <w:t>Our net loss significantly narrowed to US$2.4 million for the year ended December 31, 2025 from US$64.5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2024, which reflects revenue growth from our business expansion in the EV insurance and technology services along with disciplined expense management. Meanwhile, Adjusted EBITDA increased to US$11.0 million from US$9.8 million, maintaining a stable margin of 2.2%, which reflects our consistent core operational profitability and disciplined expense management. See our reconciliation of Net loss to Adjusted EBITDA within the section titled “Non-GAAP Financial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year ended December 31, 2023</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audited consolidated results of operations for the years indicated. This information should be read together with audited consolidated financial statements and related notes included elsewhere in this Annual Report. The operating results in any period are not necessarily indicative of the results that may be expected for any future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eInsurance service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118,109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170,549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52,440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30,658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44,892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14,234</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service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214,979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226,456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11,477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363,746</w:t>
            </w: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441,897</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78,151</w:t>
            </w: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(209,553)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(226,172)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expenses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(112,504)</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(164,262)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(51,758)</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(20,578)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(22,587)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(22,462)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(46,995)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(24,533)</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(14,111)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(26,133)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(379,208)</w:t>
            </w: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(500,260)</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(121,052)</w:t>
            </w: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(15,462)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(58,363)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(42,901)</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of fair value of warrant liabilities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(4,207)</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income/(expenses), net</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76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Loss before income tax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from continuing operations, net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difference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(15,007)</w:t>
            </w:r>
          </w:p>
        </w:tc>
        <w:tc>
          <w:tcPr>
            <w:tcW w:w="3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(61,600)</w:t>
            </w:r>
          </w:p>
        </w:tc>
        <w:tc>
          <w:tcPr>
            <w:tcW w:w="3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(46,593)</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(2,572)</w:t>
            </w:r>
          </w:p>
        </w:tc>
        <w:tc>
          <w:tcPr>
            <w:tcW w:w="3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(2,853)</w:t>
            </w:r>
          </w:p>
        </w:tc>
        <w:tc>
          <w:tcPr>
            <w:tcW w:w="3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(281)</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(17,579)</w:t>
            </w:r>
          </w:p>
        </w:tc>
        <w:tc>
          <w:tcPr>
            <w:tcW w:w="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(64,453)</w:t>
            </w:r>
          </w:p>
        </w:tc>
        <w:tc>
          <w:tcPr>
            <w:tcW w:w="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(46,874)</w:t>
            </w:r>
          </w:p>
        </w:tc>
        <w:tc>
          <w:tcPr>
            <w:tcW w:w="220" w:type="dxa"/>
            <w:vAlign w:val="bottom"/>
            <w:vMerge w:val="continue"/>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421"/>
        </w:trPr>
        <w:tc>
          <w:tcPr>
            <w:tcW w:w="32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(1,137)</w:t>
            </w:r>
          </w:p>
        </w:tc>
        <w:tc>
          <w:tcPr>
            <w:tcW w:w="32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(1,524)</w:t>
            </w:r>
          </w:p>
        </w:tc>
        <w:tc>
          <w:tcPr>
            <w:tcW w:w="32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(387)</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(18,716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(65,977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(47,261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-1070610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-788035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-487680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767"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total revenue increased by 21% from US$363.7 million for the year ended December 31, 2023 to US$441.9 million for the year ended December 31, 2024.</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Auto eInsurance service. </w:t>
      </w:r>
      <w:r>
        <w:rPr>
          <w:rFonts w:ascii="Times New Roman" w:cs="Times New Roman" w:eastAsia="Times New Roman" w:hAnsi="Times New Roman"/>
          <w:sz w:val="18"/>
          <w:szCs w:val="18"/>
          <w:color w:val="auto"/>
        </w:rPr>
        <w:t>Auto eInsurance service revenue increased by 44% from US$118.1 million for the year ended December 31,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US$170.5 million for the year ended December 31, 2024, which was driven by the increasing number of insurance policies sold for the year ended December 31, 2024. We ranked first in terms of auto insurance premiums for EVs in China. EV sales have increased sharply in recent years, and thus, our auto eInsurance business has expanded rapidly.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Technology service. </w:t>
      </w:r>
      <w:r>
        <w:rPr>
          <w:rFonts w:ascii="Times New Roman" w:cs="Times New Roman" w:eastAsia="Times New Roman" w:hAnsi="Times New Roman"/>
          <w:sz w:val="18"/>
          <w:szCs w:val="18"/>
          <w:color w:val="auto"/>
        </w:rPr>
        <w:t>Technology service revenue increased by 46% from US$30.7 million for the year ended December 31, 2023 to US$44.9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2024. With growing demands to efficiently manage their businesses, more enterprise customers are now paying for our online tools to streamline their business workflows, manage their customer relationships and automate orders processing. With the iterative upgrades of our technology, we are working on developing a SaaS model product offering and plan to gradually turn our enterprise customers into our technology service customers. Through the application of our Private Cloud Platform, our development process was simplified, and we can easily integrate various tools for software development, testing, operations and maintenance. This has strengthened our software platform and increased our business capacity to better serve the customers’ needs.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Auto service. </w:t>
      </w:r>
      <w:r>
        <w:rPr>
          <w:rFonts w:ascii="Times New Roman" w:cs="Times New Roman" w:eastAsia="Times New Roman" w:hAnsi="Times New Roman"/>
          <w:sz w:val="18"/>
          <w:szCs w:val="18"/>
          <w:color w:val="auto"/>
        </w:rPr>
        <w:t>Auto service revenue increased by 5% from US$215.0 million for the year ended December 31, 2023 to US$226.5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2024. The increase was driven by the increase of service orders in 2024. The extensive service network we developed was able to serve more enterprise customers and complete more auto services in 2024.</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Operating costs and expenses increased by 32% from US$379.2 million for the year ended December 31,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US$500.3 million for the year ended December 31, 2024.</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Integrated service cost. </w:t>
      </w:r>
      <w:r>
        <w:rPr>
          <w:rFonts w:ascii="Times New Roman" w:cs="Times New Roman" w:eastAsia="Times New Roman" w:hAnsi="Times New Roman"/>
          <w:sz w:val="18"/>
          <w:szCs w:val="18"/>
          <w:color w:val="auto"/>
        </w:rPr>
        <w:t>Integrated service costs increased by 8% from US$209.6 million for the year ended December 31, 2023 to US$226.2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2024. The increase in integrated service costs was in line with the increase in revenue in our technology service and the significant increase in auto service revenue.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Promotional service expenses</w:t>
      </w:r>
      <w:r>
        <w:rPr>
          <w:rFonts w:ascii="Times New Roman" w:cs="Times New Roman" w:eastAsia="Times New Roman" w:hAnsi="Times New Roman"/>
          <w:sz w:val="18"/>
          <w:szCs w:val="18"/>
          <w:color w:val="auto"/>
        </w:rPr>
        <w:t>. Promotional service expenses increased by 46% from US$112.5 million for the year ended December 31,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US$164.3 million for the year ended December 31, 2024. The increase in promotional service expenses was in line with the increase in revenue in our auto eInsurance service.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Selling expenses increased by 10% from US$20.6 million for the year ended December 31, 2023 to US$22.6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primarily due to an increase in promotional expense of US$5.3 million for market expansion and partially offset by decrease of US$2.3 million for compensation for part-time sales personnel and decrease of $1.2 million for depreciation of fixed assets.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109% from US$22.5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to US$47.0 million for the year ended December 31, 2024, primarily due to the increase of share-based compensation expense related to 2024 Equity Incentive Plan of US$31.0 million and US$5.4 million credit losses, and partially offset by the decrease of earnout payment of US$9.8 million and US$3.0 consulting fees.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185% from US$14.1 million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to US$40.2 million for the year ended December 31, 2024, primarily due to the increase of share-based compensation expense related to 2024 Equity Incentive Plan of US$31.0 million, and partially offset by decrease of US$4.9 million technology service fees due to a reduction on external services.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79" w:name="page80"/>
    <w:bookmarkEnd w:id="79"/>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loss and Adjusted EBITDA. </w:t>
      </w:r>
      <w:r>
        <w:rPr>
          <w:rFonts w:ascii="Times New Roman" w:cs="Times New Roman" w:eastAsia="Times New Roman" w:hAnsi="Times New Roman"/>
          <w:sz w:val="18"/>
          <w:szCs w:val="18"/>
          <w:color w:val="auto"/>
        </w:rPr>
        <w:t>Net loss increased by US$46.9 million, to US$64.5 million for the year ended December 31, 2024.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increased by US$8.1 million to US$9.8 million in the year ended December 31, 2024. See our reconciliation of Net loss to Adjusted EBITDA within the section titled “Non-GAAP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our results being determined in accordance with GAAP, the Company’s management believes that Adjusted EBITDA, which is a non-GAAP measure that excludes certain non-recurring items such as costs and expenses related to the Business Combination and prior and subsequent capital raises, is useful in evaluating our operational performance. The Company uses this non-GAAP financial information to evaluate our ongoing operations and for internal planning, budgeting and forecasting purposes. We believe that this non-GAAP financial information, when taken collectively with GAAP measures, may be helpful to investors in assessing our operating performance and comparing our performance with competitors and other comparable companies, which may or may not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This non-GAAP measure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Adjusted EBITDA, as defined below, is useful in evaluating our operational performance distinct and apart from certain expenses that may not be indicative of our recurring core business operating results and non-operational expenses. Adjusted EBITDA is defined as Net loss adjusted for depreciation and amortization, financial expenses, net, investment income, change of fair value of warrant liabilities, other non-recurring income, net, income tax expense, share-based compensation and non-recurring expenses related to the Business Combination and prior and subsequent capital raises.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Margin is defined as net loss divided by total revenues, and Adjusted EBITDA Margin is defined as Adjusted EBITDA divided by total revenues.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Net loss to Adjusted EBITDA for the years ended December 31, 2023, 2024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80" w:type="dxa"/>
            <w:vAlign w:val="bottom"/>
            <w:gridSpan w:val="8"/>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6"/>
        </w:trPr>
        <w:tc>
          <w:tcPr>
            <w:tcW w:w="71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(17,579)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(64,453)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4,114</w:t>
            </w: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4,503</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4,435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4,529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of fair value of warrant liabilities</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non-recurring (income) expense, net</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(5,001)</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2,572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2,853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57"/>
        </w:trPr>
        <w:tc>
          <w:tcPr>
            <w:tcW w:w="71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11,295</w:t>
            </w:r>
          </w:p>
        </w:tc>
        <w:tc>
          <w:tcPr>
            <w:tcW w:w="24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63,535</w:t>
            </w:r>
          </w:p>
        </w:tc>
        <w:tc>
          <w:tcPr>
            <w:tcW w:w="24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fees (2)</w:t>
            </w:r>
          </w:p>
        </w:tc>
        <w:tc>
          <w:tcPr>
            <w:tcW w:w="22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1,702</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140" w:type="dxa"/>
            <w:vAlign w:val="bottom"/>
            <w:vMerge w:val="continue"/>
          </w:tcPr>
          <w:p>
            <w:pPr>
              <w:spacing w:after="0"/>
              <w:rPr>
                <w:sz w:val="22"/>
                <w:szCs w:val="22"/>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1,649</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9,754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10,993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Margin</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0" w:type="dxa"/>
            <w:vAlign w:val="bottom"/>
          </w:tcPr>
          <w:p>
            <w:pPr>
              <w:spacing w:after="0"/>
              <w:rPr>
                <w:sz w:val="1"/>
                <w:szCs w:val="1"/>
                <w:color w:val="auto"/>
              </w:rPr>
            </w:pPr>
          </w:p>
        </w:tc>
      </w:tr>
      <w:tr>
        <w:trPr>
          <w:trHeight w:val="238"/>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0.5%</w:t>
            </w:r>
          </w:p>
        </w:tc>
        <w:tc>
          <w:tcPr>
            <w:tcW w:w="2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expense related to compensation costs for equity classified awards (both for the subsidiary and the Group).</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non-recurring transaction-related fees and expenses associated with the Company’s Business Combination and prior and subsequent capital raises.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we are not subject to tax on income or capital gain. Additionally, upon payments of dividends to the shareholders, no Cayman Islands withholding tax will be imposed.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British Virgin Islands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subsidiaries incorporated in the BVI are not subject to taxation in the British Virgin Islands.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Tax (Amendment) (No. 3) Ordinance 2018 published by Hong Kong government, form April 1, 2018, under the two-tiered profits tax rates regime, the profits tax rate for the first HKD2 million of assessable profits will be lowered to 8.25% (half of the rate specified in Schedule 8 to the Inland Revenue Ordinance (IRO)) for corporations, and the remaining profits will continue to be taxed at the existing tax rate, 16.5%. No provision for Hong Kong profits tax had been made to China Auto Market Group Ltd., a subsidiary of us, during the years ended December 31, 2023, 2024 and 2025 as it did not have assessable profit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Generally, our subsidiaries, which are considered PRC resident enterprises under PRC tax law, are subject to enterprise income tax on their worldwide taxable income as determined under PRC tax laws and accounting standards at a rate of 25%.</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Taxation [2022] No. 13, effective from January 1, 2022 to December 31, 2024, small-scale and low-profit enterprises are eligible for a preferential tax rate of 5% on taxable income between RMB1 million and RMB3 million. According to Taxation [2023] No. 6, effective from January 1, 2023 to December 31, 2024, small-scale and low-profit enterprises are eligible for a preferential tax rate of 5% on taxable income below RMB1 million. According to Taxation [2023] No.12, effective from January 1, 2025 to December 31, 2027, small-scale and low-profit enterprises are eligible for a preferential tax rate of 5% on taxable income below RMB3 million.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High and new technology enterprises enjoy a preferential tax rate of 15% under PRC tax law. Shanghai Chengle Network Technology Co., Limited and Shengda Automobile, both of our subsidiaries, have qualified as new high-tech enterprises, and have been entitled to the preferential rate of 15% since 2018. Each subsidiary successfully renewed its qualification in December 2021 and December 2024, which each renewal valid for 3 years.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Dividends paid by its wholly foreign-owned subsidiaries in China to its intermediary holding companies in Hong Kong will be subject to a withholding tax rate of 10%, unless they qualify for a special exemption. If its intermediary holding companies in Hong Kong satisfy all the requirements under the Arrangement between Mainland China and the Hong Kong Special Administrative Region for the Avoidance of Double Taxation and Tax Evasion on Income and receive approval from the relevant tax authority, then dividends paid to them by its wholly foreign-owned subsidiaries in China will be subject to a withholding tax rate of 5% instead.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holding company in the Cayman Islands or any of its subsidiaries outside of China were deemed to be a “resident enterprise” under the Enterprise Income Tax Law, it would be subject to enterprise income tax on its worldwide income at a rate of 25%.</w:t>
      </w:r>
    </w:p>
    <w:p>
      <w:pPr>
        <w:sectPr>
          <w:pgSz w:w="11900" w:h="16838" w:orient="portrait"/>
          <w:cols w:equalWidth="0" w:num="1">
            <w:col w:w="11240"/>
          </w:cols>
          <w:pgMar w:left="320" w:top="769"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r>
      <w:tr>
        <w:trPr>
          <w:trHeight w:val="198"/>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4"/>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(27,651)</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(12,147)</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(12,903)</w:t>
            </w:r>
          </w:p>
        </w:tc>
      </w:tr>
      <w:tr>
        <w:trPr>
          <w:trHeight w:val="216"/>
        </w:trPr>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60" w:type="dxa"/>
            <w:vAlign w:val="bottom"/>
          </w:tcPr>
          <w:p>
            <w:pPr>
              <w:spacing w:after="0"/>
              <w:rPr>
                <w:sz w:val="18"/>
                <w:szCs w:val="18"/>
                <w:color w:val="auto"/>
              </w:rPr>
            </w:pPr>
          </w:p>
        </w:tc>
      </w:tr>
      <w:tr>
        <w:trPr>
          <w:trHeight w:val="255"/>
        </w:trPr>
        <w:tc>
          <w:tcPr>
            <w:tcW w:w="24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(826)</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60" w:type="dxa"/>
            <w:vAlign w:val="bottom"/>
          </w:tcPr>
          <w:p>
            <w:pPr>
              <w:spacing w:after="0"/>
              <w:rPr>
                <w:sz w:val="22"/>
                <w:szCs w:val="22"/>
                <w:color w:val="auto"/>
              </w:rPr>
            </w:pPr>
          </w:p>
        </w:tc>
      </w:tr>
      <w:tr>
        <w:trPr>
          <w:trHeight w:val="250"/>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-770890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00" w:space="720"/>
            <w:col w:w="3920"/>
          </w:cols>
          <w:pgMar w:left="320" w:top="769" w:right="339" w:bottom="1440" w:gutter="0" w:footer="0" w:header="0"/>
          <w:type w:val="continuous"/>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have been cash provided from bank borrowings and revenue generated from business operations. As of December 31, 2025, we had US$25.0 million in cash and US$2.8 million in restricted cash, of which US$22.8 million in cash and US$2.8 million in restricted cash were denominated in Renminbi held at banks located in China, US$2.2 million in cash was denominated in US dollar and HK dollar held at banks located in United States and Hong Kong.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on hand, short-term investments, and cash provided by equity securities will be sufficient to meet the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expenditures, or similar actions. If we determine that the cash requirements exceed the amount of cash on hand, we may seek to issue equity or equity-linked securities or obtain debt financing. The issuance and sale of additional equity would result in further dilution to shareholders. The incurrence of indebtedness would result in increased fixed obligations and could result in operating covenants that would restrict our operations.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substantially all of our future revenues will be denominated in RMB.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2025 was US$5.7 million, as compared to net loss of US$2.4 million. The difference between net loss and net cash provided by operating activities was primarily attributable to (i) non-cash adjustment of depreciation and amortization of US$6.1 million, provision for credit losses of US$3.7 million, and share-based compensation of subsidiary of US$1.0 million; and (ii) changes in working capital items, including a decrease of accounts receivable of US$14.9 million primarily due to collections from auto service customers, an increase of accrued expenses and other current liabilities of US$3.3 million due to the increase of value added taxes and other taxes payable, an increase of deferred revenue of US$3.1 million for the increase in pre-sale projects in the second half of 2025 and a decrease of revenue recognition from deferred revenue in 2025 due to the timing of satisfaction of the related performance obligations, partially offset by an increase in prepaid expenses and other current assets of US$8.6 million due to the increase of advances to suppliers for business expansion, and a decrease in accounts payable of US$17.4 million due to the payment to suppliers.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of continuing operations for the year ended December 31, 2024 was US$11.8 million, as compared to net loss from continuing operations of US$64.5 million. The difference between net loss and net cash provided by operating activities was primarily attributable to (i) a non-cash adjustment of share-based compensation of US$63.5 million, depreciation of US$4.5 million, provision for credit losses of US$1.3 million, deferred income tax expense of US$1.2 million, (ii) increase of accounts payable of US$31.3 million primarily due to the growth of our auto service business, (iii) increase of accrued expenses and other current liabilities of US$1.4 million and US$1.9 million amounts due to related parties, offset by an increase of accounts receivable of US$22.7 million due to the increase of sales, and an increase of prepaid expenses and other current assets of US$6.7 million due to the increase of advances to suppliers for the expansion of business.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continuing operations for the year ended December 31, 2023 was US$27.7 million, as compared to net loss from continuing operations of US$17.6 million. The principal changes accounting for the difference between net loss and net cash used in operating activities in 2023 were an adjustment of US$13.7 million non-cash items including the change of share-based compensation of the Group of US$9.8 million and depreciation of US$4.1 million offset by the reversal of allowance of accounts receivable of US$4.1 million, an increase of prepaid expenses and other current assets of US$55.9 million, offset by a decrease of accounts receivable of US$30.8 million due to good collections, an increase of accounts payable of US$3.1 million. The increase in prepaid expenses and other current assets was primarily due to a significant increase in pre-recharge funds to auto service providers for the purpose of getting more preferential service prices. The increase in accounts payable was primarily due to the growth of our technology service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US$12.9 million, primarily consisting of US$8.6 million in non-current assets purchase related to the development of cloud infrastructure and artificial intelligence platform, and US$4.0 million in payment of securities margin.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continuing operations for the year ended December 31, 2024 was US$12.1 million, primarily consisting of US$11.6 million in non-current assets purchase related to the development of cloud infrastructure, and the purchase of a short-term investment of US$21.6 million, partially offset by the proceeds from sale of short-term investment of US$21.7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continuing operations for the year ended December 31, 2023 was US$2.4 million, primarily consisting of US$4.9 million in software and equipment purchase, and US$1.7 million in purchase of other non-current assets, partially offset by proceeds from the redemption of short-term investments of US$4.7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continuing operations for the year ended December 31, 2025 was US$4.4 million, consisting proceeds of short-term bank borrowings of US$104.6 million and proceeds from issuance of ordinary shares, net of issuance cost of US$41.6 million, and offset by repayments of short-term bank borrowings of US$111.3 million, repurchase of shares of US$15.8 million and repayments of payables to a related party of US$11.6 million.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3" w:name="page84"/>
    <w:bookmarkEnd w:id="8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continuing operations for the year ended December 31, 2024 was US$3.0 million, consisting primarily of repayments of short-term bank borrowings of US$103.0 million repurchase of non-controlling interests of US$4.1 and repayments to related parties of US$1.7 million, and offset by US$105.9 million from short-term bank borrowings.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continuing operations for the year ended December 31, 2023 was US$40.4 million, consisting primarily of US$104.5 million from short-term bank borrowings, proceeds from Private Placement of US$21.7 million and proceeds from issuance of ordinary shares, net of issuance cost of US$18.5 million, offset by repayment of short-term bank borrowings of US$94.0 million and repayments of payables to related parties of US$10.0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expenditures are primarily incurred for the purchase of software and equipment, and the development of our Cloud Platform. Our capital expenditures were US$6.6 million, US$12.2 million and US$8.9 million, for the years ended December 31, 2023, 2024 and 2025, respectively. We intend to fund our future capital expenditures with our existing cash balance and bank borrowings. We will continue to incur capital expenditures as needed to meet the expected growth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its shares and classified as shareholder’s equity or that are not reflected in its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it or engages in leasing, hedging or product development services with it.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Tabular Disclosure of Contractual Obligations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Within one</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6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payment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 payment of property management fee and short-term lease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payment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33,986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80,394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80,394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1,429</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rental expenses of US$0.9 million, US$1.0 million and US$1.0 million for the years ended December 31, 2023, 2024 and 2025, respectively. Other than what is disclosed above, we did not have other significant commitments, long-term obligations, or guarantees as of December 31,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certain capital commitments that are primarily related to commitments for the purchase and installation of a cloud platform and an artificial intelligence platform. Total capital commitments contracted but not yet reflected in the consolidated financial statement was US$34 million as of December 31, 2025. All of the capital commitments will be fulfilled according to the investment payment schedule.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take out borrowings with commercial banks to provide for its working capital for daily operation. See “Index to Financial Statements—Borrowings.”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Related Party Transaction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Shengda Automobile Service Group Co., Limited and its subsidiaries (“Shengda Group”) was disposed on March 1, 2022, such disposition has been completed as of that date. In addition, we were liable to Shengda Group of RMB281.8 million (US$40.9 million) for the transfer of SUNCAR Online as of December 31, 2022. Additionally, we were liable to Shengda Group of US$4.7 million for the ordinary course of operation, which was interest-free, unsecured, and could be settled on demand. In the share purchase agreement dated March 1, 2022, we agreed to repay the debt owed to Shengda Group by full before June 1, 2023.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2023, we repaid the debt owed to Shengda Group of US$10 million. In April 2023, we negotiated with Jiachen Information Technology (Shanghai) Co., Ltd. (“Jiachen”) and consented to have an extension of payment to extend the repayment due date to December 31, 2025, with an annual interest rate of 1% from June 30, 2023 to the completion of the repayment.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2024, we repaid the debt owed to Shengda Group through transfer of shares of SunCar Online at an aggregate amount of US$6.2 million. The non-cash gains from the difference of repurchase price and transfer price of US$4.5 million were charged to additional-paid-in capital.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2025, we repaid the debt owed to Shengda Group of US$11.4 million through entering into debt offset agreement with a third party. In January 2025, we negotiated with Shengda Group and consented to have an extension of payment to extend the repayment date to December 31, 2028.</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payables arising from the transfer of SunCar Online was US$12.5 million, and other payables were US$6.4 million to Shengda Group and US$0.2 million to Mr. Lei Zhunfu for the ordinary course of operation, which were interest free, unsecure and could be settled on demand.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Item 5.A. “Operating Results-Liquidity and Capital Resources”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our research and development expenses were US$14.1 million, US$40.2 million, and US$8.9 million, respectively. Research and development expenses consist primarily of payroll and employee benefits for research and development, employees, rental expenses, utilities, and other related expenses related to designing, developing, and maintaining the technology service platform to support its internal and external customers. We expect spending on research and development to continue to be significant over time as SunCar plans to continue to invest in its technology and innovation to enhance customer experience and provide value for its business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disclosed in this Report, SunCar is not aware of any trends, uncertainties, demands, commitments or events as of December 31, 2025 that are reasonably likely to have a material and adverse effect on its net revenues, income, profitability, liquidity or capital resources, or that would cause the disclosed financial information to be not necessarily indicative of future results of operations or financial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Item 5.A. “Operating Results-Critical Accounting Estimates” above.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 Identity of Directors, Senior Management and Advisers—A. Directors and Senior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paid an aggregate of approximately RMB4.11 million (US$0.57 million) in cash and benefits to our directors and executive officers. We have not set aside or accrued any amount to provide pension, retirement or other similar benefits for our executive officers and directors. Our PRC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SunCar’s Board of Directors consists of five directors, including three independent directors, namely Haidong Zhang, Lin Bao, and Yongsheng Liu. A director is not required to hold any shares in SunCar to qualify as a director. The Listing Rules of the Nasdaq generally require that a majority of an issuer’s board of directors must consist of independent directors.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SunCar is required to declare the nature of his or her interest at a meeting of SunCar’s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SunCar’s Board of Directors may exercise all of the powers to borrow money, to mortgage or charge its undertaking, property and uncalled capital, or any part thereof, and to issue debentures, debenture stock or other securities wheEVer money is borrowed or as security for any debt, liability or obligation of SunCar or of any third party. None of SunCar’s directors has a service contract with SunCar that provides benefits upon termination of service as a director.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and Functions of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Cayman Islands law, SunCar’s directors owe fiduciary duties to SunCar, including a duty of loyalty, a duty to act honestly and a duty to act in what they consider in good faith to be in SunCar’s best interests. SunCar’s directors must also exercise their powers only for a proper purpose. SunCar’s directors also owe SunCar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SunCar, SunCar’s directors must ensure compliance with SunCar’s Memorandum and Articles of Association, as amended and restated from time to time. SunCar has the right to seek damages if a duty owed by its directors is breached. In limited exceptional circumstances, a shareholder may have the right to seek damages in SunCar’s name if a duty owed by SunCar’s directors is breached. The functions and powers of SunCar’s Board of Directors include, among others, (i) convening shareholders’ annual and extraordinary general meetings and reporting its work to shareholders at such meetings, (ii) declaring dividends, (iii) appointing directors or officers and determining their terms of offices and responsibilities, and (iv) approving the transfer of shares of SunCar, including the registering of such shares in SunCar’s share register.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SunCar’s officers are elected by and serve at the discretion of the board. Each director is not subject to a term of office and holds office until such time as his successor takes office or until the earlier of his death, resignation or removal from office by ordinary resolution of all shareholders. A director will be removed from office automatically if, among other things, the director (i) becomes bankrupt or makes any arrangement or composition with his creditors; (ii) dies or is found by SunCar to be of unsound mind; (iii) resigns by notice in writing to SunCar; (iv) is prohibited by law from being a director; or (v) is removed from office pursuant to any other provisions of SunCar’s Memorandum and Articles of Association.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director may, subject to any separate requirement for audit and risk committee approval under applicable law or applicable Nasdaq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a foreign private issuer, SunCar is exempt from the rules under the Exchange Act, prescribing the furnishing and content of proxy statements, and its officers, directors and principal shareholders are exempt from short-swing profit recovery provisions contained in Section 16 of the Exchange Act. In addition, SunCar will not be required under the Exchange Act to file quarterly periodic reports and financial statements with the SEC as frequently or as promptly as U.S. domestic issuers and will not be required to disclose in its periodic reports all of the information that U.S. domestic issuers are required to disclose. SunCar is also permitted to follow corporate governance practices in accordance with Cayman Islands law in lieu of most of the corporate governance rules set forth by Nasdaq. As a result, SunCar’s corporate governance practices differ in some respects from those required to be followed by U.S. companies listed on a national securities exchange. For more details, please see </w:t>
      </w:r>
      <w:r>
        <w:rPr>
          <w:rFonts w:ascii="Times New Roman" w:cs="Times New Roman" w:eastAsia="Times New Roman" w:hAnsi="Times New Roman"/>
          <w:sz w:val="18"/>
          <w:szCs w:val="18"/>
          <w:i w:val="1"/>
          <w:iCs w:val="1"/>
          <w:color w:val="auto"/>
        </w:rPr>
        <w:t>Item 16G. – Corporate Governance</w:t>
      </w:r>
      <w:r>
        <w:rPr>
          <w:rFonts w:ascii="Times New Roman" w:cs="Times New Roman" w:eastAsia="Times New Roman" w:hAnsi="Times New Roman"/>
          <w:sz w:val="18"/>
          <w:szCs w:val="18"/>
          <w:color w:val="auto"/>
        </w:rPr>
        <w:t xml:space="preserv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SunCar’s 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SunCar has established an Audit Committee, a Compensation Committee and a Nominating and Corporate Governance Committee of its Board of Directors. SunCar has also adopted a charter for each of the three committees. Each committee’s members and functions are described below.</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SunCar’s Audit Committee consists of Lin Bao, Yongsheng Liu and Haidong Zhang, and is chaired by Lin Bao. SunCar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that each of the foregoing persons satisfies the “independence” requirements of Rule 5605(c)(2) of the Listing Rules of the Nasdaq and meets the independence standards under Rule 10A-3 under the Exchange Act, as amended. The Audit Committee oversees SunCar’s accounting and financial reporting processes and the audits of its financial statements. The Audit Committee is responsible for, among other things:</w:t>
      </w:r>
    </w:p>
    <w:p>
      <w:pPr>
        <w:spacing w:after="0" w:line="180"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clear hiring policies for employees or former employees of the independent auditors;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SunCar’s Board of Directors for approval, the appointment, re-appointment or removal of the independent auditor, after considering its annual performance evaluation of the independent auditor;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SunCar’s independent auditors at least annually;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written report from SunCar’s independent auditor describing matters relating to its independence and quality control procedures;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SunCar’s independent auditor, among other things, the audits of the financial statements, including whether any material information should be disclosed, issues regarding accounting and auditing principles and practices;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financial statements for inclusion within SunCar’s quarterly earnings releases and to its Board of Directors for inclusion in its annual reports;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with respect to risk assessment and risk management;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SunCar’s accounting and internal control policies and procedures and any special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reassessing the adequacy of the committee charter;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annual audit plans, and undertaking an annual performance evaluation of the internal audit function;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handling of complaints and whistleblowing;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the internal auditors and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SunCar’s code of business conduct and ethics, including reviewing the adequacy and effectiveness of its procedures to ensure proper compliance;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periodically to SunCar’s Board of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SunCar’s Audit Committee by SunCar’s Board of Directors from time to time.</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SunCar’s Compensation Committee consists of Haidong Zhang and Lin Bao and is chaired by Haidong Zhang. SunCar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determined that Haidong Zhang and Lin Bao satisfy the “independence” requirements of Rule 5605(c)(2) of the Listing Rules of the Nasdaq. The Compensation Committee assists the Board of Directors in reviewing and approving the compensation structure, including all forms of compensation, relating to SunCar’s directors and executive officers. SunCar’s chief executive officer may not be present at any committee meeting during which their compensation is deliberated upon. The Compensation Committee is responsible for, among other things:</w:t>
      </w:r>
    </w:p>
    <w:p>
      <w:pPr>
        <w:spacing w:after="0" w:line="183"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SunCar’s executive compensation and benefits policies generally;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any incentive compensation or equity plans, programs or other similar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reassessing the adequacy of the committee charter;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periodically to SunCar’s Board of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the Compensation Committee by SunCar’s Board of Directors from time to time.</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SunCar’s Nominating and Corporate Governance Committee consists of and is chaired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Haidong Zhang. SunCar has determined that Haidong Zhang satisfies the “independence” requirements of Rule 5605(c)(2) of the Listing Rules of the Nasdaq. The Nominating and Corporate Governance Committee will assist the Board of Directors in selecting individuals qualified to become SunCar’s directors and in determining the composition of the Board of Directors and its committees. The Nominating and Corporate Governance Committee is responsible for, among other things:</w:t>
      </w:r>
    </w:p>
    <w:p>
      <w:pPr>
        <w:spacing w:after="0" w:line="183" w:lineRule="exact"/>
        <w:rPr>
          <w:sz w:val="20"/>
          <w:szCs w:val="20"/>
          <w:color w:val="auto"/>
        </w:rPr>
      </w:pPr>
    </w:p>
    <w:p>
      <w:pPr>
        <w:ind w:left="980" w:hanging="324"/>
        <w:spacing w:after="0" w:line="282"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SunCar’s Board of Directors for election or re-election to SunCar’s Board of Directors, or for appointment to fill any vacancy or newly created directorships on SunCar’s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with SunCar’s Board of Directors the current composition of SunCar’s Board of Directors with regards to characteristics such as judgment, experience, expertise, diversity and background;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SunCar’s Board of Directors such criteria with respect to nomination or appointment of members of its Board of Directors and chairs and members of its committees or other corporate governance matters as may be required pursuant to any SEC or Nasdaq rules, or otherwise considered desirable and appropriate;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SunCar’s Board of Directors the names of directors to serve as members of the Audit Committee and the Compensation Committee, as well as of the Nominating and Corporate Governance Committee itself;</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reassessing the adequacy of the committee charter;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compliance with the corporate governance guidelines and code of business conduct and ethics;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leading the self-evaluation of SunCar’s Board of Directors in its performance and effectiveness as a whole.</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544 employees combined in our operations, consisting of 544 full-time and 0 part-time employees. The number of employees for each area of operations, and such employees as a percentage of our total workforce,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42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6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600" w:type="dxa"/>
            <w:vAlign w:val="bottom"/>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6"/>
        </w:trPr>
        <w:tc>
          <w:tcPr>
            <w:tcW w:w="3760" w:type="dxa"/>
            <w:vAlign w:val="bottom"/>
            <w:tcBorders>
              <w:bottom w:val="single" w:sz="8" w:color="CCEEFF"/>
            </w:tcBorders>
          </w:tcPr>
          <w:p>
            <w:pPr>
              <w:spacing w:after="0"/>
              <w:rPr>
                <w:sz w:val="20"/>
                <w:szCs w:val="20"/>
                <w:color w:val="auto"/>
              </w:rPr>
            </w:pPr>
          </w:p>
        </w:tc>
        <w:tc>
          <w:tcPr>
            <w:tcW w:w="48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48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Sales &amp; Administration</w:t>
            </w:r>
          </w:p>
        </w:tc>
        <w:tc>
          <w:tcPr>
            <w:tcW w:w="6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37"/>
        </w:trPr>
        <w:tc>
          <w:tcPr>
            <w:tcW w:w="3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88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4880" w:type="dxa"/>
            <w:vAlign w:val="bottom"/>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83</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89" w:name="page90"/>
    <w:bookmarkEnd w:id="8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had 560 employees combined in our operations, consisting of 560 full-time and 0 part-time employees. The number of employees for each area of operations, and such employees as a percentage of our total workforce,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42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5"/>
        </w:trPr>
        <w:tc>
          <w:tcPr>
            <w:tcW w:w="8640" w:type="dxa"/>
            <w:vAlign w:val="bottom"/>
          </w:tcPr>
          <w:p>
            <w:pPr>
              <w:spacing w:after="0"/>
              <w:rPr>
                <w:sz w:val="21"/>
                <w:szCs w:val="21"/>
                <w:color w:val="auto"/>
              </w:rPr>
            </w:pPr>
          </w:p>
        </w:tc>
        <w:tc>
          <w:tcPr>
            <w:tcW w:w="26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6"/>
        </w:trPr>
        <w:tc>
          <w:tcPr>
            <w:tcW w:w="86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gridSpan w:val="2"/>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19.11%</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Sales &amp; Administration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48.57%</w:t>
            </w:r>
          </w:p>
        </w:tc>
      </w:tr>
      <w:tr>
        <w:trPr>
          <w:trHeight w:val="24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32.32%</w:t>
            </w:r>
          </w:p>
        </w:tc>
      </w:tr>
      <w:tr>
        <w:trPr>
          <w:trHeight w:val="237"/>
        </w:trPr>
        <w:tc>
          <w:tcPr>
            <w:tcW w:w="8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8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we had 543 employees combined in our operations, consisting of 543 full-time and 0 part-time employees. The number of employees for each area of operations, and such employees as a percentage of our total workforce,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42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5"/>
        </w:trPr>
        <w:tc>
          <w:tcPr>
            <w:tcW w:w="8640" w:type="dxa"/>
            <w:vAlign w:val="bottom"/>
          </w:tcPr>
          <w:p>
            <w:pPr>
              <w:spacing w:after="0"/>
              <w:rPr>
                <w:sz w:val="21"/>
                <w:szCs w:val="21"/>
                <w:color w:val="auto"/>
              </w:rPr>
            </w:pPr>
          </w:p>
        </w:tc>
        <w:tc>
          <w:tcPr>
            <w:tcW w:w="26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6"/>
        </w:trPr>
        <w:tc>
          <w:tcPr>
            <w:tcW w:w="86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gridSpan w:val="2"/>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19.71%</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Sales &amp; Administration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49.17%</w:t>
            </w:r>
          </w:p>
        </w:tc>
      </w:tr>
      <w:tr>
        <w:trPr>
          <w:trHeight w:val="24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31.12%</w:t>
            </w:r>
          </w:p>
        </w:tc>
      </w:tr>
      <w:tr>
        <w:trPr>
          <w:trHeight w:val="237"/>
        </w:trPr>
        <w:tc>
          <w:tcPr>
            <w:tcW w:w="8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8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employees have no material activities related to labor unions.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Item 7-Major Shareholders and Related Party Transactions</w:t>
      </w:r>
      <w:r>
        <w:rPr>
          <w:rFonts w:ascii="Times New Roman" w:cs="Times New Roman" w:eastAsia="Times New Roman" w:hAnsi="Times New Roman"/>
          <w:sz w:val="18"/>
          <w:szCs w:val="18"/>
          <w:color w:val="auto"/>
        </w:rPr>
        <w:t xml:space="preserve">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Ordinary Shares as of December 31, 2025 by:</w:t>
      </w:r>
    </w:p>
    <w:p>
      <w:pPr>
        <w:spacing w:after="0" w:line="225"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the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members of Executive Management;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directors and members of Executive Management as a group.</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and includes shares underlying options, warrants or other derivative securities, as applicable, that are currently exercisable or convertible or exercisable or convertible within 60 days. Ordinary Shares that may be acquired within 60 days of December 31, 2025, pursuant to the exercise of options or Warrants are deemed to be outstanding for the purpose of computing the percentage ownership of such holder but are not deemed to be outstanding for computing the percentage ownership of any other person or entity shown in the table. Each holder of Class B Ordinary Shares is entitled to ten votes per share on all matters to be voted on by shareholders generally, including the election of directors.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the Ordinary Shares beneficially owned by them.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45"/>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2100" w:type="dxa"/>
            <w:vAlign w:val="bottom"/>
            <w:gridSpan w:val="4"/>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250"/>
        </w:trPr>
        <w:tc>
          <w:tcPr>
            <w:tcW w:w="4400" w:type="dxa"/>
            <w:vAlign w:val="bottom"/>
            <w:gridSpan w:val="2"/>
            <w:vMerge w:val="continue"/>
          </w:tcPr>
          <w:p>
            <w:pPr>
              <w:spacing w:after="0"/>
              <w:rPr>
                <w:sz w:val="21"/>
                <w:szCs w:val="21"/>
                <w:color w:val="auto"/>
              </w:rPr>
            </w:pPr>
          </w:p>
        </w:tc>
        <w:tc>
          <w:tcPr>
            <w:tcW w:w="170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Zaichang Ye</w:t>
            </w:r>
          </w:p>
        </w:tc>
        <w:tc>
          <w:tcPr>
            <w:tcW w:w="17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46,039,565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Bohong Du</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700,000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Zhunfu Lei</w:t>
            </w:r>
          </w:p>
        </w:tc>
        <w:tc>
          <w:tcPr>
            <w:tcW w:w="17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Breaux Walker</w:t>
            </w:r>
          </w:p>
        </w:tc>
        <w:tc>
          <w:tcPr>
            <w:tcW w:w="17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 Saiye Gu</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900,000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Yizhi Qian</w:t>
            </w:r>
          </w:p>
        </w:tc>
        <w:tc>
          <w:tcPr>
            <w:tcW w:w="17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Haidong Zhang</w:t>
            </w:r>
          </w:p>
        </w:tc>
        <w:tc>
          <w:tcPr>
            <w:tcW w:w="17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Lin Bao</w:t>
            </w:r>
          </w:p>
        </w:tc>
        <w:tc>
          <w:tcPr>
            <w:tcW w:w="17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Yongsheng Liu</w:t>
            </w:r>
          </w:p>
        </w:tc>
        <w:tc>
          <w:tcPr>
            <w:tcW w:w="17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17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46,039,565</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Holders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Automobile Services Group Limited</w:t>
            </w:r>
            <w:r>
              <w:rPr>
                <w:rFonts w:ascii="Times New Roman" w:cs="Times New Roman" w:eastAsia="Times New Roman" w:hAnsi="Times New Roman"/>
                <w:sz w:val="29"/>
                <w:szCs w:val="29"/>
                <w:i w:val="1"/>
                <w:iCs w:val="1"/>
                <w:color w:val="auto"/>
                <w:vertAlign w:val="superscript"/>
              </w:rPr>
              <w:t>(2)</w:t>
            </w:r>
          </w:p>
        </w:tc>
        <w:tc>
          <w:tcPr>
            <w:tcW w:w="17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41,708,943</w:t>
            </w: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135"/>
        </w:trPr>
        <w:tc>
          <w:tcPr>
            <w:tcW w:w="4300" w:type="dxa"/>
            <w:vAlign w:val="bottom"/>
          </w:tcPr>
          <w:p>
            <w:pPr>
              <w:ind w:left="1840"/>
              <w:spacing w:after="0" w:line="135" w:lineRule="exact"/>
              <w:rPr>
                <w:sz w:val="20"/>
                <w:szCs w:val="20"/>
                <w:color w:val="auto"/>
              </w:rPr>
            </w:pPr>
            <w:r>
              <w:rPr>
                <w:rFonts w:ascii="Times New Roman" w:cs="Times New Roman" w:eastAsia="Times New Roman" w:hAnsi="Times New Roman"/>
                <w:sz w:val="15"/>
                <w:szCs w:val="15"/>
                <w:i w:val="1"/>
                <w:iCs w:val="1"/>
                <w:color w:val="auto"/>
              </w:rPr>
              <w:t>(3)</w:t>
            </w:r>
          </w:p>
        </w:tc>
        <w:tc>
          <w:tcPr>
            <w:tcW w:w="100" w:type="dxa"/>
            <w:vAlign w:val="bottom"/>
          </w:tcPr>
          <w:p>
            <w:pPr>
              <w:spacing w:after="0"/>
              <w:rPr>
                <w:sz w:val="11"/>
                <w:szCs w:val="11"/>
                <w:color w:val="auto"/>
              </w:rPr>
            </w:pPr>
          </w:p>
        </w:tc>
        <w:tc>
          <w:tcPr>
            <w:tcW w:w="1400" w:type="dxa"/>
            <w:vAlign w:val="bottom"/>
            <w:gridSpan w:val="2"/>
            <w:vMerge w:val="restart"/>
          </w:tcPr>
          <w:p>
            <w:pPr>
              <w:jc w:val="right"/>
              <w:ind w:right="280"/>
              <w:spacing w:after="0" w:line="162" w:lineRule="exact"/>
              <w:rPr>
                <w:sz w:val="20"/>
                <w:szCs w:val="20"/>
                <w:color w:val="auto"/>
              </w:rPr>
            </w:pPr>
            <w:r>
              <w:rPr>
                <w:rFonts w:ascii="Times New Roman" w:cs="Times New Roman" w:eastAsia="Times New Roman" w:hAnsi="Times New Roman"/>
                <w:sz w:val="18"/>
                <w:szCs w:val="18"/>
                <w:color w:val="auto"/>
              </w:rPr>
              <w:t>20,832,142</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gridSpan w:val="2"/>
            <w:vMerge w:val="restart"/>
          </w:tcPr>
          <w:p>
            <w:pPr>
              <w:jc w:val="right"/>
              <w:ind w:right="120"/>
              <w:spacing w:after="0" w:line="162" w:lineRule="exact"/>
              <w:rPr>
                <w:sz w:val="20"/>
                <w:szCs w:val="20"/>
                <w:color w:val="auto"/>
              </w:rPr>
            </w:pPr>
            <w:r>
              <w:rPr>
                <w:rFonts w:ascii="Times New Roman" w:cs="Times New Roman" w:eastAsia="Times New Roman" w:hAnsi="Times New Roman"/>
                <w:sz w:val="18"/>
                <w:szCs w:val="18"/>
                <w:color w:val="auto"/>
              </w:rPr>
              <w:t>34.9%</w:t>
            </w:r>
          </w:p>
        </w:tc>
        <w:tc>
          <w:tcPr>
            <w:tcW w:w="1640" w:type="dxa"/>
            <w:vAlign w:val="bottom"/>
            <w:gridSpan w:val="3"/>
            <w:vMerge w:val="restart"/>
          </w:tcPr>
          <w:p>
            <w:pPr>
              <w:jc w:val="right"/>
              <w:ind w:right="52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3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100"/>
              <w:spacing w:after="0" w:line="16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400" w:type="dxa"/>
            <w:vAlign w:val="bottom"/>
            <w:gridSpan w:val="2"/>
          </w:tcPr>
          <w:p>
            <w:pPr>
              <w:spacing w:after="0" w:line="27" w:lineRule="exact"/>
              <w:rPr>
                <w:sz w:val="20"/>
                <w:szCs w:val="20"/>
                <w:color w:val="auto"/>
              </w:rPr>
            </w:pPr>
            <w:r>
              <w:rPr>
                <w:rFonts w:ascii="Times New Roman" w:cs="Times New Roman" w:eastAsia="Times New Roman" w:hAnsi="Times New Roman"/>
                <w:sz w:val="3"/>
                <w:szCs w:val="3"/>
                <w:color w:val="auto"/>
              </w:rPr>
              <w:t>KMBP Holdings Limited</w:t>
            </w:r>
          </w:p>
        </w:tc>
        <w:tc>
          <w:tcPr>
            <w:tcW w:w="14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tcPr>
          <w:p>
            <w:pPr>
              <w:jc w:val="right"/>
              <w:ind w:right="100"/>
              <w:spacing w:after="0" w:line="95" w:lineRule="exact"/>
              <w:rPr>
                <w:sz w:val="20"/>
                <w:szCs w:val="20"/>
                <w:color w:val="auto"/>
              </w:rPr>
            </w:pPr>
            <w:r>
              <w:rPr>
                <w:rFonts w:ascii="Times New Roman" w:cs="Times New Roman" w:eastAsia="Times New Roman" w:hAnsi="Times New Roman"/>
                <w:sz w:val="10"/>
                <w:szCs w:val="10"/>
                <w:color w:val="auto"/>
              </w:rPr>
              <w:t>(5)</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SSDL Holdings Limited</w:t>
            </w:r>
            <w:r>
              <w:rPr>
                <w:rFonts w:ascii="Times New Roman" w:cs="Times New Roman" w:eastAsia="Times New Roman" w:hAnsi="Times New Roman"/>
                <w:sz w:val="29"/>
                <w:szCs w:val="29"/>
                <w:i w:val="1"/>
                <w:iCs w:val="1"/>
                <w:color w:val="auto"/>
                <w:vertAlign w:val="superscript"/>
              </w:rPr>
              <w:t>(4)</w:t>
            </w:r>
          </w:p>
        </w:tc>
        <w:tc>
          <w:tcPr>
            <w:tcW w:w="17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4,330,622</w:t>
            </w: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named beneficial owner is c/o Shanghai Feiyou Trading Co., Ltd., Suite 209, No. 656 Lingshi Road, Jing’an District, Shanghai, China.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 Services Group Limited is 99.99% owned by Zaichang Ye. The registered office is at Viatra Corporate Services Centre, Wickhams Cay II, Road Town, Tortola, VG 1110, British Virgin Islands.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KMBP Holdings Limited (“KMBP”) is a special purpose vehicle of China Harvest Fund II, L.P. and China Harvest Co-Investors II, L.P., (collectively, the “China Harvest Funds”) in respect of their investment in Auto Services Group Limited. The general partner of the China Harvest Funds is China Renaissance Capital Investment II, L.P. The general partner of China Renaissance Capital Investment II, L.P. is China Renaissance Capital II GP. The voting powers and investment powers of KMBP is exercised in accordance with its board of directors, which consist of Mark Qiu, Bai Wei, and Yu Chun Yin. KMBP’s address is Suite 2202A, 22/F, South Island Place, 8 Wong Chuk Hang Road, Hong Kong.</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SSDL Holdings Limited is 100% owned by Zaichang Ye.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KMBP is based on the Schedule 13D/A filed on November 21, 2025, as of December 31, 2025. The most recent available information indicates that KMBP currently beneficially owns 19,633,273 shares, based on the Schedule 13D/A filed on April 27,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Disposal of Shengda Group</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 2022, SunCar entered into a share purchase agreement (the “SPA”) with Jiachen Information Technology (Shanghai) Co., Ltd., an affiliate of Mr. Ye Zaichang, SunCar’s Chairman of the Board of Directors to transferred the total equity of Shengda Automobile Service Group Co., Limited and its subsidiaries (“Shengda Group”) with the consideration of RMB 1 (as the disposed entities are in a net liability position as of the disposal date). Besides, on March 1, 2022, China Auto Market Group Limited., the HK subsidiary of SunCar, transferred its 25% equity interest of Shengshi Dalian Financial Leasing (Shanghai) Co., Ltd and Shenglian Finance Leasing (Tianjin) Co., Ltd, subsidiaries of Shengda Group, to a then related party YSY GROUP LIMITED (“YSY”), which at the time was an affiliate of Mr. Ye Zaichang, with the consideration of RMB 1. YSY is currently 100% controlled by ASTS Holdings limited (“ASTS”), a British Virgin Islands incorporated company. The address of ASTS is Intershore Chambers, Road Town, Tortola, British Virgin Islands. ASTS is 100% controlled by Mr. Li Qin, a Hong Kong citizen.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agreements have been approved by an independent committee of the Group’s Board of Directors, and the disposal transaction was completed as of March 1, 2022.</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transfer of equity interest of SUNCAR Online from Shengda Group to Shanghai Feiyou at a transfer price of RMB 281,780 ($44,217) (see Note 3 Discontinued Operations to the consolidated financial statements of SunCar in this Report), SunCar has in debt owed to Shengda Group (which was ultimately controlled by Mr. Ye) RMB281,780 (US$40,854). Pursuant to the SPA, SunCar agreed to repay the debt owed to Shengda Group by full before June 1, 2023. As of December 31, 2022, other than the debt mentioned above, SunCar also owed to Shengda Group of $4,710, which was in the ordinary course of operation and unsecure. On April 6, 2023, SunCar entered into an extension agreement with Shengda Group to extend the maturity date due to Shengda Group to December 31, 2025, with annual interest rate of 1% in the extension period from June 1, 2023 to December 31, 2025. For the year ended December 31, 2023, we repaid the debt owed to Shengda Group of US$10,000.</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repaid the debt owed to Shengda Group through transfer of shares of SunCar Online at an aggregate amount of RMB44,638 (US$6,203). The non-cash gains from the difference of repurchase price and transfer price of US$4,504 were charged to additional-paid-in capital.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2025, we repaid the debt owed to Shengda Group of US$11.4 million.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for the balance with Shengda Group, SunCar also owed to Mr. Lei Zhunfu, who is the Chief Technology Officer and Chief Operating Officer of the Company, of RMB1,677 (US$240), which was in the ordinary course of operation and unsecure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 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18-Financial Statements</w:t>
      </w:r>
      <w:r>
        <w:rPr>
          <w:rFonts w:ascii="Times New Roman" w:cs="Times New Roman" w:eastAsia="Times New Roman" w:hAnsi="Times New Roman"/>
          <w:sz w:val="18"/>
          <w:szCs w:val="18"/>
          <w:color w:val="auto"/>
        </w:rPr>
        <w:t xml:space="preserve"> of this Report for consolidated financial statements and other financial information.</w:t>
      </w:r>
    </w:p>
    <w:p>
      <w:pPr>
        <w:spacing w:after="0" w:line="223" w:lineRule="exact"/>
        <w:rPr>
          <w:sz w:val="20"/>
          <w:szCs w:val="20"/>
          <w:color w:val="auto"/>
        </w:rPr>
      </w:pPr>
    </w:p>
    <w:p>
      <w:pPr>
        <w:jc w:val="center"/>
        <w:ind w:right="9480"/>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Class A Ordinary Shares and Warrants are listed on Nasdaq Capital Market under the symbols “SDA” and “SDAWW”, respectively. Holders of Class A Ordinary Shares and Warrants should obtain current market quotations for their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 A Ordinary Shares and Warrants are listed on Nasdaq Capital Market under the symbols “SDA” and “SDAWW”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authorized to issue an unlimited number of Ordinary Shares of $0.0001 par value per share, divided into two classes as follows: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and Class B Ordinary Shares.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there were 59,608,351 Class A Ordinary Shares outstanding and issued and 46,039,565 Class B Ordinary Shares outstanding and issued. 5,365,194 public warrants were outstanding, and the holder of each such warrant is entitled to purchase one-half (1/2) of one Class A Ordinary Share at an exercise price of $11.50 per full share. 350,000 private placement warrants were outstanding, and the holder of each such warrant is entitled to purchase one-half (1/2) of one Class A Ordinary Share at an exercise price of $11.50 per full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Second Amended and Restated Memorandum and Articles of Association of the Company (the “Memorandum and Articles of Association”) is qualified in its entirety by the Memorandum and Articles of Association which are included as Exhibit 1.1 to this Report.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SunCar Technology Group Inc. (“SunCar”), is a Cayman Islands exempted company and its affairs are governed by the memorandum and articles of association, as amended and restated from time to time, and Companies Act (As Revised) of the Cayman Islands, which we refer to as the “Companies Act” below, and the common law of the Cayman Islands.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The authorized share capital of SunCar is $50,000 divided into 500,000,000 ordinary shares of par value of $0.0001 each, comprising of</w:t>
      </w:r>
    </w:p>
    <w:p>
      <w:pPr>
        <w:spacing w:after="0" w:line="31" w:lineRule="exact"/>
        <w:rPr>
          <w:sz w:val="20"/>
          <w:szCs w:val="20"/>
          <w:color w:val="auto"/>
        </w:rPr>
      </w:pPr>
    </w:p>
    <w:p>
      <w:pPr>
        <w:jc w:val="both"/>
        <w:ind w:firstLine="8"/>
        <w:spacing w:after="0" w:line="253" w:lineRule="auto"/>
        <w:tabs>
          <w:tab w:leader="none" w:pos="2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Class A Ordinary Shares of par value of US$0.0001 each and (b) 100,000,000 Class B ordinary shares of par value of $0.0001 each. Holders of Class A Ordinary Shares and Class B Ordinary Shares have the same rights except for voting and conversion rights. All of SunCar’s issued and outstanding ordinary shares are fully paid and non-assessable. Certificates representing the ordinary shares are issued in registered form. SunCar may not issue shares to bearers. SunCar’s shareholders who are non-residents of the Cayman Islands may freely hold and transfer their ordinary shares.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SunCar’s ordinary shares are entitled to such dividends as may be declared by its Board of Directors subject to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Memorandum and Articles of Association and the Companies Act. In addition, SunCar’s shareholders may by ordinary resolution declare a dividend, but no dividend may exceed the amount recommended by its directors. SunCar’s Memorandum and Articles of Association provide that dividends may be declared and paid out of SunCar’s profits, realized or unrealized, or from any reserve set aside from profits which its Board of Directors determines is no longer needed. Dividends may also be declared and paid out of share premium account or any other fund or account which can be authorized for this purpose in accordance with the Companies Act. No dividend may be declared and paid unless SunCar’s directors determine that, immediately after the payment, SunCar will be able to pay its debts as they become due in the ordinary course of business and SunCar has funds lawfully available for such purposes. Holders of SunCar Class A Ordinary Shares and SunCar Class B Ordinary Shares will be entitled to the same amount of dividends, if declared.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each SunCar Class A ordinary share is entitled to one vote, and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SunCar Class B Ordinary Share is entitled to 10 votes, voting together as one class. Voting at any meeting of shareholders is by poll and not on a show of hands.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two or more shareholders holding not less than one-half of the votes attaching to the issued and outstanding shares entitled to vote at general meetings present in person or by proxy or, if a corporation or other non-natural person, by its duly authorized representative. As a Cayman Islands exempted company, SunCar is not obliged by the Companies Act to call shareholders’ annual general meetings. SunCar’s Memorandum and Articles of Association provide that SunCar may (but are not obliged to) in each year hold a general meeting as its annual general meeting in which case SunCar will specify the meeting as such in the notices calling it, and the annual general meeting will be held at such time and place as may be determined by its directors. We, however, will hold an annual shareholders’ meeting during each fiscal year, as required by the Nasdaq Listing Rules. Each general meeting, other than an annual general meeting, shall be an extraordinary general meeting. Shareholders’ annual general meetings and any other general meetings of SunCar’s shareholders may be called by a majority of its Board of Directors or its chairman or, in the case of an extraordinary general meeting only, upon a requisition of shareholders holding at the date of deposit of the requisition not less than one-third of the votes attaching to the issued and outstanding shares entitled to vote at general meetings, in which case the directors are obliged to call such meeting and to put the resolutions so requisitioned to a vote at such meeting; however, SunCar Memorandum and Articles of Association do not provide its shareholders with any right to put any proposals before any annual general meetings or any extraordinary general meetings not called by such shareholders. Advance notice of at least fifteen (15) days is required for the convening of SunCar’s annual general meeting and other general meetings unless such notice is waived in accordance with its articles of association.</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SunCar’s Memorandum and Articles of Association.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Each SunCar Class B Ordinary Share is convertible into one SunCar Class A Ordinary Share at any time at the option of the 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thereof. SunCar Class A Ordinary Shares are not convertible into SunCar Class B Ordinary Shares under any circumstances. Upon any sale, transfer, assignment or disposition of SunCar Class B Ordinary Shares by a holder to any person or entity which is not an affiliate of such holder, such SunCar Class B Ordinary Shares shall be automatically and immediately converted into the equivalent number of SunCar Class A Ordinary Shares.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the restrictions in SunCar’s Memorandum and Articles of Association as set out below, any of SunCar’s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may transfer all or any of his or her ordinary shares by an instrument of transfer in the usual or common form or any other form approved by SunCar’s Board of Directors.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SunCar’s Board of Directors may, in its absolute discretion, decline to register any transfer of any ordinary share which is not fully paid up or on which SunCar has a lien. SunCar’s Board of Directors may also decline to register any transfer of any ordinary share unless:</w:t>
      </w:r>
    </w:p>
    <w:p>
      <w:pPr>
        <w:spacing w:after="0" w:line="162" w:lineRule="exact"/>
        <w:rPr>
          <w:sz w:val="20"/>
          <w:szCs w:val="20"/>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SunCar’s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SunCar’s directors may from time to time require is paid to SunCar in respect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SunCar’s directors refuse to register a transfer they shall, within two months after the date on which the instrument of transfer was lodged, send to each of the transferors and the transferee notice of such refusal.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registration of transfers may, after compliance with any notice required of the Nasdaq, be suspended and the register closed at such times and for such periods as SunCar’s Board of Directors may from time to time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registration of transfers shall not be suspended nor the register closed for more than 30 days in any year as SunCar’s board may determine.</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a return of capital on winding up or otherwise (other than on conversion, redemption or purchase of ordinary shares), if the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for distribution amongst SunCar’s shareholders shall be more than sufficient to repay the whole of the share capital at the commencement of the winding up, the surplus shall be distributed amongst SunCar’s shareholders in proportion to the par value of the shares held by them at the commencement of the winding up, subject to a deduction from those shares in respect of which there are monies due, of all monies payable to SunCar for unpaid calls or otherwise. If SunCar’s assets available for distribution are insufficient to repay all of the paid-up capital, the assets will be distributed so that the losses are borne by SunCar’s shareholders in proportion to the par value of the shares held by them. Any distribution of assets or capital to a holder of ordinary share will be the same in any liquidation event. Any distribution of assets or capital to a holder of a SunCar Class A ordinary share and a holder of a SunCar Class B Ordinary Share will be the same in any liquidation event.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SunCar may issue shares on terms that such shares are subject to redemption,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SunCar’s option or at the option of the holders thereof, on such terms and in such manner as may be determined, before the issue of such shares, by SunCar’s Board of Directors or by a special resolution of SunCar’s shareholders. SunCar may also repurchase any of its shares provided that the manner and terms of such purchase have been approved by its Board of Directors or are otherwise authorized by its Memorandum and Articles of Association. Under the Companies Act, the redemption or repurchase of any share may be paid out of SunCar’s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SunCar may accept the surrender of any fully paid share for no consideration.</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SunCar’s share capital is divided into different classes or series of shares, the rights attached to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class or series of shares (unless otherwise provided by the terms of issue of the shares of that class or series), whether or not SunCar is being wound-up, may be varied with the consent in writing of a majority the holders of the issued shares of that class or series or with the sanction of an ordinary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SunCar Ordinary Shares have no general right under Cayman Islands law to inspect or obtain copies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SunCar’s list of shareholders or its corporate records. (other than the memorandum and articles of association, the register of mortgages and charges and any special resolutions passed by shareholders). Under Cayman Islands law, the names of our current directors can be obtained from a search conducted at the Registrar of Companies in the Cayman Islands. However, SunCar will provide its shareholders with annual audited financial statements. See “Where You Can Find Additional Information.”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SunCar’s Memorandum and Articles of Association authorize its Board of Directors to issue additional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from time to time as its Board of Directors shall determine, to the extent of available authorized but unissued shares.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SunCar’s Memorandum and Articles of Association also authorize its Board of Directors to establish from time to time one or more series of preferred shares and to determine, with respect to any series of preferred shares, the terms and rights of that series, including:</w:t>
      </w:r>
    </w:p>
    <w:p>
      <w:pPr>
        <w:spacing w:after="0" w:line="162"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SunCar’s Board of Directors may issue preferred shares without action by its shareholders to the extent authorized but unissued. Issuance of these shares may dilute the voting power of holders of ordinary shares.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SunCar’s Memorandum and Articles of Association may discourage, delay or prevent a change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of SunCar or management that shareholders may consider favorable, including provisions that authorize SunCar’s Board of Directors to issue preferred shares in one or more series and to designate the price, rights, preferences, privileges and restrictions of such preferred shares without any further vote or action by its shareholders.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Exempted Company. </w:t>
      </w:r>
      <w:r>
        <w:rPr>
          <w:rFonts w:ascii="Times New Roman" w:cs="Times New Roman" w:eastAsia="Times New Roman" w:hAnsi="Times New Roman"/>
          <w:sz w:val="18"/>
          <w:szCs w:val="18"/>
          <w:color w:val="auto"/>
        </w:rPr>
        <w:t>SunCar is an exempted company with limited liability under the Companies Act. The Companies Act distinguishes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for an exempted company:</w:t>
      </w:r>
    </w:p>
    <w:p>
      <w:pPr>
        <w:spacing w:after="0" w:line="180"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 Relating to the Business Combination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description of the Merger Agreement is included in SunCar’s registration statement on Form F-4 (File No. 333-269295), filed with the SEC on March 27, 2023 (the “Form F-4”) in the sections entitled “</w:t>
      </w:r>
      <w:r>
        <w:rPr>
          <w:rFonts w:ascii="Times New Roman" w:cs="Times New Roman" w:eastAsia="Times New Roman" w:hAnsi="Times New Roman"/>
          <w:sz w:val="18"/>
          <w:szCs w:val="18"/>
          <w:i w:val="1"/>
          <w:iCs w:val="1"/>
          <w:color w:val="auto"/>
        </w:rPr>
        <w:t>Proposal No. 1 - The Reincorporation Merger Proposal</w:t>
      </w:r>
      <w:r>
        <w:rPr>
          <w:rFonts w:ascii="Times New Roman" w:cs="Times New Roman" w:eastAsia="Times New Roman" w:hAnsi="Times New Roman"/>
          <w:sz w:val="18"/>
          <w:szCs w:val="18"/>
          <w:color w:val="auto"/>
        </w:rPr>
        <w:t>”,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foreign exchange controls or foreign exchange regulations under the currently applicable laws of the Cayman Islands.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current PRC Enterprise Income Tax Law (the “EIT Law”), and the implementation regulations for the EIT Law issued by China’s State Council, became effective as of January 1, 2008. Under the EIT Law, enterprises are classified as either resident or non-resident enterprises. An enterprise established outside of China with its “de facto management bodies” located within China is considered a “resident enterprise,” meaning that it can be treated in a manner similar to a Chinese enterprise for enterprise income tax purposes. The implementing rules of the EIT Law defines a “de facto management body” as a managing body that in practice exercises “substantial and overall management and control over the production and operations, personnel, accounting, and properties” of the enterprise; however, it remains unclear whether the PRC tax authorities would deem our managing body as being located within China. Due to the relatively short history of the EIT Law and lack of applicable legal precedents, the PRC tax authorities determine the PRC tax resident treatment of entities organized under the laws of foreign jurisdictions on a case-by-case basis.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PRC tax authorities determine that we are a resident enterprise for PRC enterprise income tax purposes, a number of PRC tax consequences could follow. First, we may be subject to enterprise income tax at a rate of twenty five percent (25%) on our respective worldwide taxable income, as well as PRC enterprise income tax reporting obligations. Second, although the EIT Law provides that “dividends, bonuses and other equity investment proceeds between qualified resident enterprises” is exempted income, and the implementing rules of the EIT Law refer to “dividends, bonuses and other equity investment proceeds between qualified resident enterprises” as the investment proceeds obtained by a resident enterprise from its direct investment in another resident enterprise, it is still unclear whether the dividends we receive from Haiyan Trading and Anqi Technology would be classified as “dividends between qualified resident enterprises” and therefore qualify for tax exemption.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we are treated as a non-resident enterprise under the EIT Law, any dividends that we receive from Haiyan Trading (assuming such dividends are deemed to be sourced from within the PRC) (i) may be subject to a five percent (5%) PRC withholding tax, provided that we own more than twenty five percent (25%) of the registered capital of Haiyan Trading and Anqi Technology incessantly within twelve (12) months immediately prior to obtaining such dividends from Haiyan Trading and Anqi Technology, and if the </w:t>
      </w:r>
      <w:r>
        <w:rPr>
          <w:rFonts w:ascii="Times New Roman" w:cs="Times New Roman" w:eastAsia="Times New Roman" w:hAnsi="Times New Roman"/>
          <w:sz w:val="18"/>
          <w:szCs w:val="18"/>
          <w:i w:val="1"/>
          <w:iCs w:val="1"/>
          <w:color w:val="auto"/>
        </w:rPr>
        <w:t>Arrangement between the Mainland of China and the Hong Kong Special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Region for the Avoidance of Double Taxation and the Prevention of Fiscal Evasion with Respect to Taxes on Income </w:t>
      </w:r>
      <w:r>
        <w:rPr>
          <w:rFonts w:ascii="Times New Roman" w:cs="Times New Roman" w:eastAsia="Times New Roman" w:hAnsi="Times New Roman"/>
          <w:sz w:val="18"/>
          <w:szCs w:val="18"/>
          <w:color w:val="auto"/>
        </w:rPr>
        <w:t>(the “Arrangement”) is applicable, or</w:t>
      </w:r>
    </w:p>
    <w:p>
      <w:pPr>
        <w:spacing w:after="0" w:line="3" w:lineRule="exact"/>
        <w:rPr>
          <w:sz w:val="20"/>
          <w:szCs w:val="20"/>
          <w:color w:val="auto"/>
        </w:rPr>
      </w:pPr>
    </w:p>
    <w:p>
      <w:pPr>
        <w:jc w:val="both"/>
        <w:ind w:firstLine="8"/>
        <w:spacing w:after="0" w:line="253" w:lineRule="auto"/>
        <w:tabs>
          <w:tab w:leader="none" w:pos="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Arrangement does not apply (i.e. the PRC tax authorities may deem us to be a conduit not entitled to treaty benefits), may be subject to a ten percent (10%) PRC withholding tax. Similarly, if we are treated as a non-resident enterprise, and Renovation is treated as a resident enterprise, then any dividends that we receive from Renovation (assuming such dividends were considered sourced within the PRC) may be subject to a ten percent (10%) PRC withholding tax. Any such taxes on dividends could materially reduce the amount of dividends, if any, that we could pay to our shareholders.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Finally, the new “resident enterprise” classification could result in a situation in which a ten percent (10%) PRC tax is imposed on dividends we pay to our investors that are non-resident enterprises so long as such non-resident enterprise investors do not have an establishment or place of business in China or, despite the existence of such establishment of place of business in China, the relevant income is not effectively connected with such establishment or place of business in China, to the extent that such dividends have their sources within the PRC. Similarly, any gain realized on the transfer of our shares by such investors is also subject to a ten percent (10%) PRC income tax if such gain is regarded as income derived from sources within China. In such event, we may be required to withhold a ten percent (10%) PRC tax on any dividends paid to our investors that are non-resident enterprises. Our investors that are non-resident enterprises also may be responsible for paying PRC tax at a rate of ten percent (10%) on any gain realized from the sale or transfer of our common shares in certain circumstances. We would not, however, have an obligation to withhold PRC tax with respect to such gain.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Moreover, the State Administration of Taxation issued the </w:t>
      </w:r>
      <w:r>
        <w:rPr>
          <w:rFonts w:ascii="Times New Roman" w:cs="Times New Roman" w:eastAsia="Times New Roman" w:hAnsi="Times New Roman"/>
          <w:sz w:val="17"/>
          <w:szCs w:val="17"/>
          <w:i w:val="1"/>
          <w:iCs w:val="1"/>
          <w:color w:val="auto"/>
        </w:rPr>
        <w:t>Notice on Strengthening the Administration of Enterprise Income Tax on Share Transfer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Income of Non-Resident Enterprises No. 698 </w:t>
      </w:r>
      <w:r>
        <w:rPr>
          <w:rFonts w:ascii="Times New Roman" w:cs="Times New Roman" w:eastAsia="Times New Roman" w:hAnsi="Times New Roman"/>
          <w:sz w:val="17"/>
          <w:szCs w:val="17"/>
          <w:color w:val="auto"/>
        </w:rPr>
        <w:t>(“Circular 698”) on December 10, 2009, which reinforces taxation on transfer of non-listed shares by non-resident enterprises through overseas holding vehicles. Circular 698 applies retroactively and was deemed to be effective as of January 2008. Pursuant to Circular 698, where (i) a foreign investor who indirectly holds equity interest in a PRC resident enterprise through an offshore holding company indirectly transfers equity interests in a PRC resident enterprise by selling the shares of the offshore holding company, and (ii) the offshore holding company is located in a jurisdiction where the effective tax rate is lower than twelve and a half percent (12.5%) or where the offshore income of its residents is not taxable, the foreign investor is required to provide the tax authority in charge of that PRC resident enterprise with certain relevant information within thirty</w:t>
      </w:r>
    </w:p>
    <w:p>
      <w:pPr>
        <w:spacing w:after="0" w:line="4" w:lineRule="exact"/>
        <w:rPr>
          <w:sz w:val="20"/>
          <w:szCs w:val="20"/>
          <w:color w:val="auto"/>
        </w:rPr>
      </w:pPr>
    </w:p>
    <w:p>
      <w:pPr>
        <w:jc w:val="both"/>
        <w:ind w:firstLine="8"/>
        <w:spacing w:after="0" w:line="252" w:lineRule="auto"/>
        <w:tabs>
          <w:tab w:leader="none" w:pos="3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transfer. The tax authorities in charge will evaluate the offshore transaction for tax purposes. In the event that the tax authorities determine that such transfer is abusing forms of business organization and there is no reasonable commercial purpose other than avoidance of PRC enterprise income tax, the tax authorities will have the power to conduct a substance-over-form re-assessment of the nature of the equity transfer. A reasonable commercial purpose may be established when the overall offshore structure is set up to comply with the requirements of supervising authorities of international capital markets. If the State Administration of Taxation’s challenge of a transfer is successful, they will deny the existence of the offshore holding company that is used for tax planning purposes. Since Circular 698 has a brief history, there is uncertainty as to its application.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EVer declared or paid any cash dividends and has no plan to declare or pay any dividends on Ordinary Shares in the foreseeable future. The Company currently intends to retain any earnings for future operations and expansion.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We are subject to certain of the informational filing requirements of the Exchange Act. Since we are a “foreign private issuer,” our officers, directors and principal shareholders are exempt from the reporting and “short-swing” profit recovery provisions contained in Section 16 of the Exchange Act, with respect to their purchase and sale of our equity securities.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will also furnish to the SEC, on Form 6-K, unaudited financial information with respect to our first two fiscal quarters. Information filed with or furnished to the SEC by us will be available on our website. On March 30, 2023, the Company and GBRG furnished to its shareholders a proxy statement/prospectus relating to the Business Combination. The SEC also maintains a website at http://www.sec.gov that contains reports and other information that we file with or furnish electronically with the SEC.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while we have short-term bank loans outstanding. Although interest rates for our short-term loans are typically fixed for the terms of the loans, the terms are typically twelve months and interest rates are subject to change upon renewal.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Credit risk is controlled by the application of credit approvals, limits and monitoring procedures. We manage credit risk through in-house research and analysis of the Chinese economy and the underlying obligors and transaction structures. We identify credit risk collectively based on industry, geography and customer type. In measuring the credit risk of our sales to our customers, we mainly reflect the “probability of default” by the customer on its contractual obligations and consider the current financial position of the customer and the current and likely future exposures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will be unable to provide sufficient capital resources and liquidity to meet our commitments and business needs. Liquidity risk is controlled by the application of financial position analysis and monitoring procedures. When necessary, we will turn to other financial institutions and related parties to obtain short-term funding to cover any liquidity shortage.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our reporting currency is the U.S. dollar, almost all of our consolidated revenues and consolidated costs and expenses are denominated in RMB. All of our assets are denominated in RMB. As a result, we are exposed to foreign exchange risk as our revenues and results of operations may be affected by fluctuations in the exchange rate between the U.S. dollar and RMB. If the RMB depreciates against the U.S. dollar, the value of our RMB revenues, earnings and assets as expressed in our U.S. dollar financial statements will decline. We have not entered into any hedging transactions in an effort to reduce our exposure to foreign exchange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management, with the participation of our chief executive officer and chief financial officer, concluded that, as of December 31, 2025, our disclosure controls and procedures were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 and Attestation Report of the Registered Public Accounting Firm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2025. 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“emerging growth companies,” which we also are, are not required to provide the auditor attestation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our fiscal year ended December 31, 2025 that has materially affected or is reasonably likely to materially affect our internal control over financial reporting.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Lin Bao, chairwoman of our Audit Committee and an independent director (under the standards set forth in Rule 5605(c)(2) of the Nasdaq Stock Market Rules and Rule 10A-3 under the Securities Exchange Act of 1934), is an Audit Committee financial expert.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that applies to all of the directors, officers and employees. We have posted a copy of our code of business conduct and ethics on our website at https://suncartech.com/.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Enrome LLP,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Fiscal Years</w:t>
            </w:r>
          </w:p>
        </w:tc>
      </w:tr>
      <w:tr>
        <w:trPr>
          <w:trHeight w:val="216"/>
        </w:trPr>
        <w:tc>
          <w:tcPr>
            <w:tcW w:w="8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9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This category includes the audit of our annual financial statements, review of financial statements included in our interim semi-annual report on Form 6-K, and services that are normally provided by independent auditors in connection with statutory and regulatory filings or the engagement for fiscal years. This category also includes advice on audit and accounting matters that arose during, or as a result of, the audit or the review of interim financial statements.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This category consists of assurance and related services by our independent auditors that are reasonably related to the performance of the audit or review of our financial statements and are not reported above under “Audit Fees.”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This category consists of professional services rendered by our independent auditors for tax compliance and tax advice. The services for the fees disclosed under this category include tax return preparation and technical tax advice.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This category consists of fees for other miscellaneous items.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corporate governance practices do not differ from those followed by domestic companies listed on the NASDAQ Capital Market other than those disclosed below.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NASDAQ Listing Rule 5615(a)(3) permits a Foreign Private Issuer to follow its home country practice in lieu of the requirements of the Rule 5600 Series, the requirement to disclose third party director and nominee compensation set forth in Rule 5250(b)(3), and the requirement to distribute annual and interim reports set forth in Rule 5250(d), provided, however, that such a Foreign Private Issuer shall follow the following NASDAQ Listing Rules: comply with the Notification of Noncompliance requirement (Rule 5625), the Voting Rights requirement (Rule 5640), the Diverse Board Representation Rule (Rule 5605(f)), the Board Diversity Disclosure Rule (Rule 5606), have an Audit Committee that satisfies Rule 5605(c)(3), and ensure that such Audit Committee’s members meet the independence requirement in Rule 5605(c)(2)(A)(ii). Except as provided in this paragraph, a Foreign Private Issuer must comply with the requirements of the Rule 5000 Series.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5615(a)(3), the Company has elected to follow the Company’s home country rules under the laws of the Cayman Islands from time to time in lieu of the requirements of the Rule 5600 Series of the NASDAQ Stock Market Marketplace Rules which are listed below:</w:t>
      </w:r>
    </w:p>
    <w:p>
      <w:pPr>
        <w:spacing w:after="0" w:line="176" w:lineRule="exact"/>
        <w:rPr>
          <w:sz w:val="20"/>
          <w:szCs w:val="20"/>
          <w:color w:val="auto"/>
        </w:rPr>
      </w:pPr>
    </w:p>
    <w:p>
      <w:pPr>
        <w:ind w:left="980" w:right="2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5605(b), pursuant to which (i) a majority of the board of directors must be comprised of independent directors, and (ii) the independent directors must have regularly scheduled meetings at which only independent directors are present.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5605(c), pursuant to which each company must have, and certify that it has and will continue to have, an Audit Committee of at least three members, each of whom must meet criteria set forth in Rule 5605(c)(2)(A).</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5605(d), pursuant to which each company must (i) certify that it has adopted a formal written Compensation Committee charter and that the Compensation Committee will review and reassess the adequacy of the formal written charter on an annual basis, and (ii) have, and certify that it has and will continue to have, a Compensation Committee of at least two members, each of whom must be an independent director.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5605(e), pursuant to which director nominees must be selected, or recommended for the board of director’s selection, either by independent directors constituting a majority of the board of director’s independent directors in a vote in which only independent directors participate, or a nominations committee comprised solely of independent directors.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5610, pursuant to which each company shall adopt a code of conduct applicable to all directors, officers and employees.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5620(a), pursuant to which each company listing common stock or voting preferred stock, and their equivalents, shall hold an annual meeting of shareholders no later than one year after the end of the issuer’s fiscal year-end.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5620(b), pursuant to which each company that is not a limited partnership shall solicit proxies and provide proxy statements for all meetings of shareholders and shall provide copies of such proxy solicitation to Nasdaq.</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5620(c), pursuant to which each company that is not a limited partnership shall provide for a quorum as specified in its by-laws for any meeting of the holders of common stock; provided, however, that in no case shall such quorum be less than 33 1/3 % of the outstanding shares of the company’s common voting stock.</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5630, pursuant to which each company that is not a limited partnership shall conduct an appropriate review and oversight of all related party transactions for potential conflict of interest situations on an ongoing basis by the company’s Audit Committee or another independent body of the board of directors.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5635(a), pursuant to which shareholder approval is required in certain circumstances prior to the issuance of securities in connection with the acquisition of the stock or assets of another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5635(b), pursuant to which shareholder approval is required prior to the issuance of securities when the issuance or potential issuance will result in a change of control of the company.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5635(c), pursuant to which shareholder approval is required prior to the issuance of securities when a stock option or purchase plan is to be established or materially amended or other equity compensation arrangements made or materially amended, pursuant to which stock may be acquired by officers, directors, employees, or consultants, subject to certain exceptions.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jc w:val="both"/>
        <w:ind w:left="980" w:hanging="324"/>
        <w:spacing w:after="0" w:line="255"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5635(d), pursuant to which shareholder approval is required prior to the issuance of securities in connection with a transaction, other than a public offering, involving the sale, issuance or potential issuance by the company of common stock (or securities convertible into or exercisable for common stock), which alone or together with sales by officers, directors or Substantial Shareholders of the company equals 20% or more of common stock or 20% or more of the voting power outstanding before the issuance,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or the Policy, governing the purchase, sale and other transactions in our securities that applies to our directors, officers, employees, consultants and other covered persons, including immediate family members and entities controlled by any of the foregoing persons.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that the Policy is reasonably designed to promote compliance with applicable insider trading laws, rules and regulations, and listing standards applicable to the Company. A copy of the Policy is filed as Exhibit 11.1 to the annual report on Form 20-F for the fiscal year ended December 31, 2024 that was filed on April 28, 2025, which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implemented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 cybersecurity threat defense system to address both internal and 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methods, including technical safeguards, procedural requirements, an intensive monitoring program on our corporate network, continuous testing of our security posture both internally and with outside vendors, a robust incident response program, a review of the effectiveness of our security system with reference to applicable security standards by qualified third parties and regular cybersecurity awareness training for employees. We continuously monitor the performance of our apps, platforms and infrastructure to enable us to respond quickly to potential problems, including potential cybersecurity threats.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is responsible for overseeing the Company’s cybersecurity risk management and be informed on risks from cybersecurity threats. The Board shall review, approve and maintain oversight of the disclosure (i) on Form 6-K for material cybersecurity incidents (if any) and (ii) related to cybersecurity matters in the periodic reports (including annual report on Form 20-F) of the Company. In addition, our management team, including those with experience in dealing with confidentiality-related cybersecurity issues, oversee and manage cybersecurity-related matters and formulate policies as necessary. Our Board review on an annual basis regarding assessment, identification and management on material risks from cybersecurity threats that happened in the ordinary course of our business operations. If a cybersecurity incident occurs, our Board will promptly organize relevant personnel for internal assessment and, depending on the situation, seek the opinions of external experts and legal advisors. If it is determined that the incident could potentially be a material cybersecurity event, our Board will decide on the relevant response measures and whether any disclosure is necessary. If such disclosure is determined to be necessary, such disclosure material will be prepared and reviewed by our Board before it is disseminated to the public.</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audited consolidated financial statements of the Company in Exhibit 99.1 in Form F-4 are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160" w:type="dxa"/>
            <w:vAlign w:val="bottom"/>
            <w:gridSpan w:val="10"/>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00" w:type="dxa"/>
            <w:vAlign w:val="bottom"/>
            <w:tcBorders>
              <w:bottom w:val="single" w:sz="8" w:color="0000EE"/>
              <w:right w:val="single" w:sz="8" w:color="CCEEFF"/>
            </w:tcBorders>
            <w:gridSpan w:val="18"/>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Second Amended and Restated Amended and Restated Memorandum and Articles of Association of SunCar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Exhibit 1.1 of SunCar’s Annual Report on Form 20-F, filed with the SEC on July 14,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00" w:type="dxa"/>
            <w:vAlign w:val="bottom"/>
            <w:tcBorders>
              <w:bottom w:val="single" w:sz="8" w:color="0000EE"/>
            </w:tcBorders>
            <w:gridSpan w:val="18"/>
          </w:tcPr>
          <w:p>
            <w:pPr>
              <w:ind w:left="20"/>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Specimen Ordinary Share Certificate of SunCar (incorporated by reference to Exhibit 4.8 of SunCar’s registration statement on Form F-4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20" w:type="dxa"/>
            <w:vAlign w:val="bottom"/>
            <w:gridSpan w:val="19"/>
          </w:tcPr>
          <w:p>
            <w:pPr>
              <w:ind w:left="20"/>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(File No. 333-269295), filed with the SEC on March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00" w:type="dxa"/>
            <w:vAlign w:val="bottom"/>
            <w:tcBorders>
              <w:bottom w:val="single" w:sz="8" w:color="0000EE"/>
              <w:right w:val="single" w:sz="8" w:color="CCEEFF"/>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Merger Agreement dated May 23, 2022 (incorporated by reference to Exhibit 1.1 of SunCar’s registration statement on Form F-4 (File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333-269295), filed with the SEC on March 27,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00" w:type="dxa"/>
            <w:vAlign w:val="bottom"/>
            <w:tcBorders>
              <w:bottom w:val="single" w:sz="8" w:color="0000EE"/>
            </w:tcBorders>
            <w:gridSpan w:val="18"/>
          </w:tcPr>
          <w:p>
            <w:pPr>
              <w:ind w:left="20"/>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Resale Lock-up Agreement (incorporated by reference to Annex F of SunCar’s registration statement on Form F-4 (File 333-269295),</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20" w:type="dxa"/>
            <w:vAlign w:val="bottom"/>
            <w:gridSpan w:val="19"/>
          </w:tcPr>
          <w:p>
            <w:pPr>
              <w:ind w:left="20"/>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filed with the SEC on March 27, 2023).</w:t>
              </w:r>
            </w:hyperlink>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00" w:type="dxa"/>
            <w:vAlign w:val="bottom"/>
            <w:tcBorders>
              <w:bottom w:val="single" w:sz="8" w:color="0000EE"/>
              <w:right w:val="single" w:sz="8" w:color="CCEEFF"/>
            </w:tcBorders>
            <w:gridSpan w:val="18"/>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Warrant Agreement, dated March 1, 2021, by and between Continental Stock Transfer &amp; Trust Company and the Registrant (incorporated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right w:val="single" w:sz="8" w:color="CCEEFF"/>
            </w:tcBorders>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by reference to Exhibit 4.1 to the Current Report on Form 8-K filed by Goldenbridge with the Securities and Exchange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March 5,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00" w:type="dxa"/>
            <w:vAlign w:val="bottom"/>
            <w:tcBorders>
              <w:bottom w:val="single" w:sz="8" w:color="0000EE"/>
            </w:tcBorders>
            <w:gridSpan w:val="18"/>
          </w:tcPr>
          <w:p>
            <w:pPr>
              <w:ind w:left="20"/>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Rights Agreement, dated March 1, 2021, by and between Continental Stock Transfer &amp; Trust Company and the Registrant (incorporated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20" w:type="dxa"/>
            <w:vAlign w:val="bottom"/>
            <w:tcBorders>
              <w:bottom w:val="single" w:sz="8" w:color="0000EE"/>
            </w:tcBorders>
            <w:gridSpan w:val="19"/>
          </w:tcPr>
          <w:p>
            <w:pPr>
              <w:ind w:left="20"/>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by reference to Exhibit 4.2 to the Current Report on Form 8-K filed by Goldenbridge with the Securities &amp; Exchange Commission on</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20" w:type="dxa"/>
            <w:vAlign w:val="bottom"/>
            <w:gridSpan w:val="19"/>
          </w:tcPr>
          <w:p>
            <w:pPr>
              <w:ind w:left="20"/>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March 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00" w:type="dxa"/>
            <w:vAlign w:val="bottom"/>
            <w:tcBorders>
              <w:bottom w:val="single" w:sz="8" w:color="0000EE"/>
              <w:right w:val="single" w:sz="8" w:color="CCEEFF"/>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Warrant, by and between Auto Services Group Limited and GEM Yield Bahamas Limited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4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0000EE"/>
            </w:tcBorders>
            <w:gridSpan w:val="12"/>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9</w:t>
              </w:r>
              <w:r>
                <w:rPr>
                  <w:rFonts w:ascii="Times New Roman" w:cs="Times New Roman" w:eastAsia="Times New Roman" w:hAnsi="Times New Roman"/>
                  <w:sz w:val="18"/>
                  <w:szCs w:val="18"/>
                  <w:color w:val="0000EE"/>
                  <w:w w:val="99"/>
                </w:rPr>
                <w:t xml:space="preserve"> of SunCar’s registration statement on Form F-4 (File 333-269295)</w:t>
              </w:r>
            </w:hyperlink>
          </w:p>
        </w:tc>
        <w:tc>
          <w:tcPr>
            <w:tcW w:w="494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00" w:type="dxa"/>
            <w:vAlign w:val="bottom"/>
            <w:tcBorders>
              <w:bottom w:val="single" w:sz="8" w:color="0000EE"/>
            </w:tcBorders>
            <w:gridSpan w:val="18"/>
          </w:tcPr>
          <w:p>
            <w:pPr>
              <w:ind w:left="20"/>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Registration Rights Agreement, dated March 1, 2021, among the Registrant, Continental Stock Transfer &amp; Trust Company and the initial</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20" w:type="dxa"/>
            <w:vAlign w:val="bottom"/>
            <w:gridSpan w:val="19"/>
          </w:tcPr>
          <w:p>
            <w:pPr>
              <w:ind w:left="20"/>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shareholders (incorporated by reference to Exhibit 10.4 to the Current Report on Form 8-K filed by Goldenbridge with the SEC on March</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w w:val="96"/>
              </w:rPr>
            </w:pPr>
            <w:hyperlink r:id="rId130">
              <w:r>
                <w:rPr>
                  <w:rFonts w:ascii="Times New Roman" w:cs="Times New Roman" w:eastAsia="Times New Roman" w:hAnsi="Times New Roman"/>
                  <w:sz w:val="18"/>
                  <w:szCs w:val="18"/>
                  <w:color w:val="0000EE"/>
                  <w:w w:val="96"/>
                </w:rPr>
                <w:t>5, 2021).</w:t>
              </w:r>
            </w:hyperlink>
          </w:p>
        </w:tc>
        <w:tc>
          <w:tcPr>
            <w:tcW w:w="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00" w:type="dxa"/>
            <w:vAlign w:val="bottom"/>
            <w:tcBorders>
              <w:bottom w:val="single" w:sz="8" w:color="0000EE"/>
              <w:right w:val="single" w:sz="8" w:color="CCEEFF"/>
            </w:tcBorders>
            <w:gridSpan w:val="18"/>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Form of Employment Agreement between SunCar and SunCar’s executive officers (incorporated by reference to Exhibit 10.6 of SunCar’s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Borders>
              <w:bottom w:val="single" w:sz="8" w:color="CCEEFF"/>
            </w:tcBorders>
            <w:shd w:val="clear" w:color="auto" w:fill="CCEEFF"/>
          </w:tcPr>
          <w:p>
            <w:pPr>
              <w:spacing w:after="0"/>
              <w:rPr>
                <w:sz w:val="18"/>
                <w:szCs w:val="18"/>
                <w:color w:val="auto"/>
              </w:rPr>
            </w:pPr>
          </w:p>
        </w:tc>
        <w:tc>
          <w:tcPr>
            <w:tcW w:w="7140" w:type="dxa"/>
            <w:vAlign w:val="bottom"/>
            <w:tcBorders>
              <w:bottom w:val="single" w:sz="8" w:color="0000EE"/>
            </w:tcBorders>
            <w:gridSpan w:val="16"/>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registration statement on Form F-4 (File No. 333-269295), filed with the SEC on March 27, 2023).</w:t>
              </w:r>
            </w:hyperlink>
          </w:p>
        </w:tc>
        <w:tc>
          <w:tcPr>
            <w:tcW w:w="28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00" w:type="dxa"/>
            <w:vAlign w:val="bottom"/>
            <w:tcBorders>
              <w:bottom w:val="single" w:sz="8" w:color="0000EE"/>
            </w:tcBorders>
            <w:gridSpan w:val="18"/>
          </w:tcPr>
          <w:p>
            <w:pPr>
              <w:ind w:left="20"/>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Share Purchase Agreement among Auto Services Group Limited, GEM Global Yield LLC SCS and GEM Yield Bahamas</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20" w:type="dxa"/>
            <w:vAlign w:val="bottom"/>
            <w:tcBorders>
              <w:bottom w:val="single" w:sz="8" w:color="0000EE"/>
            </w:tcBorders>
            <w:gridSpan w:val="19"/>
          </w:tcPr>
          <w:p>
            <w:pPr>
              <w:ind w:left="20"/>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Limited (incorporated by reference to Exhibit 10.7 of SunCar’s registration statement on Form F-4 (File No. 333-269295), filed with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20" w:type="dxa"/>
            <w:vAlign w:val="bottom"/>
            <w:gridSpan w:val="19"/>
          </w:tcPr>
          <w:p>
            <w:pPr>
              <w:ind w:left="20"/>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SEC on March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00" w:type="dxa"/>
            <w:vAlign w:val="bottom"/>
            <w:tcBorders>
              <w:bottom w:val="single" w:sz="8" w:color="0000EE"/>
              <w:right w:val="single" w:sz="8" w:color="CCEEFF"/>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Registration Rights Agreement between Auto Services Group Limited and GEM Global Yield LLC SCS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Borders>
              <w:bottom w:val="single" w:sz="8" w:color="CCEEFF"/>
            </w:tcBorders>
            <w:shd w:val="clear" w:color="auto" w:fill="CCEEFF"/>
          </w:tcPr>
          <w:p>
            <w:pPr>
              <w:spacing w:after="0"/>
              <w:rPr>
                <w:sz w:val="18"/>
                <w:szCs w:val="18"/>
                <w:color w:val="auto"/>
              </w:rPr>
            </w:pPr>
          </w:p>
        </w:tc>
        <w:tc>
          <w:tcPr>
            <w:tcW w:w="9880" w:type="dxa"/>
            <w:vAlign w:val="bottom"/>
            <w:tcBorders>
              <w:bottom w:val="single" w:sz="8" w:color="0000EE"/>
            </w:tcBorders>
            <w:gridSpan w:val="17"/>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reference to Exhibit 10.8 of SunCar’s registration statement on Form F-4 (File No. 333-269295), filed with the SEC on March 27, 2023).</w:t>
              </w:r>
            </w:hyperlink>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000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color w:val="0000EE"/>
              </w:rPr>
              <w:t>List of Subsidiaries.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0000" w:type="dxa"/>
            <w:vAlign w:val="bottom"/>
            <w:tcBorders>
              <w:bottom w:val="single" w:sz="8" w:color="0000EE"/>
              <w:right w:val="single" w:sz="8" w:color="CCEEFF"/>
            </w:tcBorders>
            <w:gridSpan w:val="18"/>
            <w:shd w:val="clear" w:color="auto" w:fill="CCEEFF"/>
          </w:tcPr>
          <w:p>
            <w:pPr>
              <w:ind w:left="20"/>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Code of Ethics (incorporated by reference to Exhibit 14 to the Registration Statement on Form S-1/A filed by Goldenbridge with</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the SEC on January 20,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10000" w:type="dxa"/>
            <w:vAlign w:val="bottom"/>
            <w:tcBorders>
              <w:bottom w:val="single" w:sz="8" w:color="0000EE"/>
            </w:tcBorders>
            <w:gridSpan w:val="18"/>
          </w:tcPr>
          <w:p>
            <w:pPr>
              <w:ind w:left="20"/>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Insider Trading Policy of SunCar (incorporated by reference to Exhibit 11.1 of SunCar’s annual report on Form 20-F, filed with the SEC</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20" w:type="dxa"/>
            <w:vAlign w:val="bottom"/>
            <w:gridSpan w:val="19"/>
          </w:tcPr>
          <w:p>
            <w:pPr>
              <w:ind w:left="20"/>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on April 28, 2025).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5120" w:type="dxa"/>
            <w:vAlign w:val="bottom"/>
            <w:tcBorders>
              <w:bottom w:val="single" w:sz="8" w:color="0000EE"/>
            </w:tcBorders>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Section 302 Certification by the Corporation’s Chief Executive Officer</w:t>
            </w:r>
          </w:p>
        </w:tc>
        <w:tc>
          <w:tcPr>
            <w:tcW w:w="4880" w:type="dxa"/>
            <w:vAlign w:val="bottom"/>
            <w:tcBorders>
              <w:bottom w:val="single" w:sz="8" w:color="CCEEFF"/>
              <w:right w:val="single" w:sz="8" w:color="CCEEFF"/>
            </w:tcBorders>
            <w:gridSpan w:val="5"/>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000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color w:val="0000EE"/>
              </w:rPr>
              <w:t>Section 302 Certification by the Corporation’s Chief Financial Officer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7140" w:type="dxa"/>
            <w:vAlign w:val="bottom"/>
            <w:tcBorders>
              <w:bottom w:val="single" w:sz="8" w:color="0000EE"/>
            </w:tcBorders>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Section 906 Certification by the Corporation’s Chief Executive Officer and Chief Financial Officer</w:t>
            </w:r>
          </w:p>
        </w:tc>
        <w:tc>
          <w:tcPr>
            <w:tcW w:w="286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000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Enrome LLP</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000" w:type="dxa"/>
            <w:vAlign w:val="bottom"/>
            <w:tcBorders>
              <w:right w:val="single" w:sz="8" w:color="CCEEFF"/>
            </w:tcBorders>
            <w:gridSpan w:val="18"/>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Compensation Recovery Policy (incorporated by reference to Exhibit 97.1 of SunCar’s annual report on Form 20-F,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0000EE"/>
              <w:right w:val="single" w:sz="8" w:color="CCEEFF"/>
            </w:tcBorders>
            <w:gridSpan w:val="18"/>
            <w:shd w:val="clear" w:color="auto" w:fill="CCEEFF"/>
          </w:tcPr>
          <w:p>
            <w:pPr>
              <w:ind w:left="20"/>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April 29,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color w:val="0000EE"/>
              </w:rPr>
              <w:t>Audited consolidated financial statements of the Company for year ended December 31, 2025.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tcBorders>
              <w:right w:val="single" w:sz="8" w:color="CCEEFF"/>
            </w:tcBorders>
            <w:gridSpan w:val="1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tcBorders>
              <w:right w:val="single" w:sz="8" w:color="CCEEFF"/>
            </w:tcBorders>
            <w:gridSpan w:val="1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tcBorders>
              <w:right w:val="single" w:sz="8" w:color="CCEEFF"/>
            </w:tcBorders>
            <w:gridSpan w:val="1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tcBorders>
              <w:right w:val="single" w:sz="8" w:color="CCEEFF"/>
            </w:tcBorders>
            <w:gridSpan w:val="1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report on its behalf.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40" w:type="dxa"/>
            <w:vAlign w:val="bottom"/>
            <w:gridSpan w:val="2"/>
          </w:tcPr>
          <w:p>
            <w:pPr>
              <w:ind w:left="3460"/>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tc>
      </w:tr>
      <w:tr>
        <w:trPr>
          <w:trHeight w:val="43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April 28, 2026</w:t>
            </w:r>
          </w:p>
        </w:tc>
        <w:tc>
          <w:tcPr>
            <w:tcW w:w="402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Bohong Du</w:t>
            </w:r>
          </w:p>
        </w:tc>
      </w:tr>
      <w:tr>
        <w:trPr>
          <w:trHeight w:val="198"/>
        </w:trPr>
        <w:tc>
          <w:tcPr>
            <w:tcW w:w="3300" w:type="dxa"/>
            <w:vAlign w:val="bottom"/>
          </w:tcPr>
          <w:p>
            <w:pPr>
              <w:spacing w:after="0"/>
              <w:rPr>
                <w:sz w:val="17"/>
                <w:szCs w:val="17"/>
                <w:color w:val="auto"/>
              </w:rPr>
            </w:pPr>
          </w:p>
        </w:tc>
        <w:tc>
          <w:tcPr>
            <w:tcW w:w="4020" w:type="dxa"/>
            <w:vAlign w:val="bottom"/>
          </w:tcPr>
          <w:p>
            <w:pPr>
              <w:ind w:left="34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Bohong Du</w:t>
            </w:r>
          </w:p>
        </w:tc>
      </w:tr>
      <w:tr>
        <w:trPr>
          <w:trHeight w:val="216"/>
        </w:trPr>
        <w:tc>
          <w:tcPr>
            <w:tcW w:w="3300" w:type="dxa"/>
            <w:vAlign w:val="bottom"/>
          </w:tcPr>
          <w:p>
            <w:pPr>
              <w:spacing w:after="0"/>
              <w:rPr>
                <w:sz w:val="18"/>
                <w:szCs w:val="18"/>
                <w:color w:val="auto"/>
              </w:rPr>
            </w:pPr>
          </w:p>
        </w:tc>
        <w:tc>
          <w:tcPr>
            <w:tcW w:w="402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33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47"/>
        </w:trPr>
        <w:tc>
          <w:tcPr>
            <w:tcW w:w="33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99</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ind w:left="1240"/>
              <w:spacing w:after="0"/>
              <w:rPr>
                <w:sz w:val="20"/>
                <w:szCs w:val="20"/>
                <w:color w:val="auto"/>
              </w:rPr>
            </w:pPr>
            <w:r>
              <w:rPr>
                <w:rFonts w:ascii="Times New Roman" w:cs="Times New Roman" w:eastAsia="Times New Roman" w:hAnsi="Times New Roman"/>
                <w:sz w:val="22"/>
                <w:szCs w:val="22"/>
                <w:b w:val="1"/>
                <w:bCs w:val="1"/>
                <w:color w:val="auto"/>
                <w:w w:val="95"/>
              </w:rPr>
              <w:t>Exhibit 8.1</w:t>
            </w:r>
          </w:p>
        </w:tc>
      </w:tr>
      <w:tr>
        <w:trPr>
          <w:trHeight w:val="398"/>
        </w:trPr>
        <w:tc>
          <w:tcPr>
            <w:tcW w:w="9000" w:type="dxa"/>
            <w:vAlign w:val="bottom"/>
            <w:gridSpan w:val="2"/>
          </w:tcPr>
          <w:p>
            <w:pPr>
              <w:ind w:left="4020"/>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tc>
        <w:tc>
          <w:tcPr>
            <w:tcW w:w="2240" w:type="dxa"/>
            <w:vAlign w:val="bottom"/>
          </w:tcPr>
          <w:p>
            <w:pPr>
              <w:spacing w:after="0"/>
              <w:rPr>
                <w:sz w:val="24"/>
                <w:szCs w:val="24"/>
                <w:color w:val="auto"/>
              </w:rPr>
            </w:pPr>
          </w:p>
        </w:tc>
      </w:tr>
      <w:tr>
        <w:trPr>
          <w:trHeight w:val="238"/>
        </w:trPr>
        <w:tc>
          <w:tcPr>
            <w:tcW w:w="9000" w:type="dxa"/>
            <w:vAlign w:val="bottom"/>
            <w:gridSpan w:val="2"/>
          </w:tcPr>
          <w:p>
            <w:pPr>
              <w:ind w:left="488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2240" w:type="dxa"/>
            <w:vAlign w:val="bottom"/>
          </w:tcPr>
          <w:p>
            <w:pPr>
              <w:spacing w:after="0"/>
              <w:rPr>
                <w:sz w:val="20"/>
                <w:szCs w:val="20"/>
                <w:color w:val="auto"/>
              </w:rPr>
            </w:pPr>
          </w:p>
        </w:tc>
      </w:tr>
      <w:tr>
        <w:trPr>
          <w:trHeight w:val="432"/>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the subsidiaries of SunCar Technology Group Inc., are listed as follows:</w:t>
            </w:r>
          </w:p>
        </w:tc>
        <w:tc>
          <w:tcPr>
            <w:tcW w:w="2240" w:type="dxa"/>
            <w:vAlign w:val="bottom"/>
          </w:tcPr>
          <w:p>
            <w:pPr>
              <w:spacing w:after="0"/>
              <w:rPr>
                <w:sz w:val="24"/>
                <w:szCs w:val="24"/>
                <w:color w:val="auto"/>
              </w:rPr>
            </w:pPr>
          </w:p>
        </w:tc>
      </w:tr>
      <w:tr>
        <w:trPr>
          <w:trHeight w:val="423"/>
        </w:trPr>
        <w:tc>
          <w:tcPr>
            <w:tcW w:w="8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Place of</w:t>
            </w:r>
          </w:p>
        </w:tc>
      </w:tr>
      <w:tr>
        <w:trPr>
          <w:trHeight w:val="245"/>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r>
      <w:tr>
        <w:trPr>
          <w:trHeight w:val="216"/>
        </w:trPr>
        <w:tc>
          <w:tcPr>
            <w:tcW w:w="8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Services Group Limited</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 Services Group Holdings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Market Group Limited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Anqi Technology (Zhejiang)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Cuhong Automotive Service Co., Ltd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Haiyan Trading (Shanghai)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 Mo (Shanghai) Technology Co., Ltd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Tianzhuo Automobile Service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Zanxing Data Technology Co., Ltd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Shengshi Dalian Insurance Agency Co.,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Shengshi Dalian Automobile Service Co., Ltd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Beisheng United Insurance Agency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Nanjing Xinda New Insurance Agency Co., Ltd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Chengdu Shengda Insurance Agency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Anite Insurance Agency Co., Ltd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Jingning Jiashun Automobile Technology Service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Louduo Technology Co., Ltd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Chengle Network Technology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Qianjing Automobile Service Co., Ltd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Xuanbei Automotive Service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Jiangsu Shengda Automobile Service Co., Ltd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Zhejiang Qixuan Automotive Service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Jiayi Automobile Insurance Agency Co., Ltd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Liduanxing Automobile Service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bl>
    <w:p>
      <w:pPr>
        <w:sectPr>
          <w:pgSz w:w="11900" w:h="16838" w:orient="portrait"/>
          <w:cols w:equalWidth="0" w:num="1">
            <w:col w:w="11240"/>
          </w:cols>
          <w:pgMar w:left="320" w:top="108"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Zaichang Ye, certify that:</w:t>
      </w:r>
    </w:p>
    <w:p>
      <w:pPr>
        <w:spacing w:after="0" w:line="229"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SunCar Technology Group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7"/>
          <w:szCs w:val="17"/>
          <w:color w:val="auto"/>
        </w:rPr>
        <w:t>/s/ Zaichang 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Zaichang Ye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08"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12.2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Bohong Du, certify that:</w:t>
      </w:r>
    </w:p>
    <w:p>
      <w:pPr>
        <w:spacing w:after="0" w:line="229"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SunCar Technology Group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7"/>
          <w:szCs w:val="17"/>
          <w:color w:val="auto"/>
        </w:rPr>
        <w:t>/s/ Bohong 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Bohong Du</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Accounting Officer &amp; Principal Financial Officer)</w:t>
      </w:r>
    </w:p>
    <w:p>
      <w:pPr>
        <w:sectPr>
          <w:pgSz w:w="11900" w:h="16838" w:orient="portrait"/>
          <w:cols w:equalWidth="0" w:num="1">
            <w:col w:w="11240"/>
          </w:cols>
          <w:pgMar w:left="320" w:top="108"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13.1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for the year ended December 31, 2025 (the “Report”) of SunCar Technology Group Inc. (the “Company”) as filed with the Securities and Exchange Commission on the date hereof, we, Zaichang Ye, President and Chief Executive Officer, and Bohong Du, Chief Financial Officer, certify, pursuant to 18 U.S.C. Section 1350, as adopted pursuant to Section 906 of the Sarbanes-Oxley Act of 2002, that:</w:t>
      </w:r>
    </w:p>
    <w:p>
      <w:pPr>
        <w:spacing w:after="0" w:line="180"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Zaichang 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Zaichang Ye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Bohong 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Bohong Du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ectPr>
          <w:pgSz w:w="11900" w:h="16838" w:orient="portrait"/>
          <w:cols w:equalWidth="0" w:num="1">
            <w:col w:w="11240"/>
          </w:cols>
          <w:pgMar w:left="320" w:top="10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45640" cy="3600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19456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 dated April 28, 2026, with respect to the consolidated financial statements of SunCar Technology Group Inc. and its subsidiaries, for the years ended December 31, 2025, 2024 and 2023, on the Registration Statements on Form F-3 (File NO. 333-280780) and Form F-3 (File NO. 333-279916) of SunCar Technology Group Inc.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heading “Experts” in such Registration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Enrome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Enrome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 Cecil Street #19-03/04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GB Building Singapore 069542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admin@enrome-group.com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www.enrome-group.com</w:t>
      </w:r>
    </w:p>
    <w:p>
      <w:pPr>
        <w:sectPr>
          <w:pgSz w:w="11900" w:h="16838" w:orient="portrait"/>
          <w:cols w:equalWidth="0" w:num="3">
            <w:col w:w="3000" w:space="720"/>
            <w:col w:w="3880" w:space="720"/>
            <w:col w:w="2920"/>
          </w:cols>
          <w:pgMar w:left="320" w:top="117"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10"/>
        </w:trPr>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120" w:type="dxa"/>
            <w:vAlign w:val="bottom"/>
            <w:gridSpan w:val="8"/>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20" w:type="dxa"/>
            <w:vAlign w:val="bottom"/>
            <w:gridSpan w:val="8"/>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PAGE(S)</w:t>
            </w:r>
          </w:p>
        </w:tc>
        <w:tc>
          <w:tcPr>
            <w:tcW w:w="0" w:type="dxa"/>
            <w:vAlign w:val="bottom"/>
          </w:tcPr>
          <w:p>
            <w:pPr>
              <w:spacing w:after="0"/>
              <w:rPr>
                <w:sz w:val="1"/>
                <w:szCs w:val="1"/>
                <w:color w:val="auto"/>
              </w:rPr>
            </w:pPr>
          </w:p>
        </w:tc>
      </w:tr>
      <w:tr>
        <w:trPr>
          <w:trHeight w:val="216"/>
        </w:trPr>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6907)</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4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(LOSS)/INCOME FOR THE YEARS ENDED</w:t>
            </w:r>
          </w:p>
        </w:tc>
        <w:tc>
          <w:tcPr>
            <w:tcW w:w="82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0080" w:type="dxa"/>
            <w:vAlign w:val="bottom"/>
            <w:gridSpan w:val="1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DECEMBER 31, 2023, 2024 AND 2025</w:t>
            </w: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2023,</w:t>
            </w: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60" w:type="dxa"/>
            <w:vAlign w:val="bottom"/>
            <w:tcBorders>
              <w:top w:val="single" w:sz="8" w:color="0000EE"/>
            </w:tcBorders>
            <w:shd w:val="clear" w:color="auto" w:fill="CCEEFF"/>
          </w:tcPr>
          <w:p>
            <w:pPr>
              <w:spacing w:after="0"/>
              <w:rPr>
                <w:sz w:val="18"/>
                <w:szCs w:val="18"/>
                <w:color w:val="auto"/>
              </w:rPr>
            </w:pPr>
          </w:p>
        </w:tc>
        <w:tc>
          <w:tcPr>
            <w:tcW w:w="9860" w:type="dxa"/>
            <w:vAlign w:val="bottom"/>
            <w:tcBorders>
              <w:top w:val="single" w:sz="8" w:color="0000EE"/>
            </w:tcBorders>
            <w:gridSpan w:val="8"/>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2024 AND 2025</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60" w:type="dxa"/>
            <w:vAlign w:val="bottom"/>
            <w:tcBorders>
              <w:top w:val="single" w:sz="8" w:color="0000EE"/>
              <w:bottom w:val="single" w:sz="8" w:color="auto"/>
            </w:tcBorders>
          </w:tcPr>
          <w:p>
            <w:pPr>
              <w:spacing w:after="0"/>
              <w:rPr>
                <w:sz w:val="24"/>
                <w:szCs w:val="24"/>
                <w:color w:val="auto"/>
              </w:rPr>
            </w:pPr>
          </w:p>
        </w:tc>
        <w:tc>
          <w:tcPr>
            <w:tcW w:w="1200" w:type="dxa"/>
            <w:vAlign w:val="bottom"/>
            <w:tcBorders>
              <w:top w:val="single" w:sz="8" w:color="0000EE"/>
              <w:bottom w:val="single" w:sz="8" w:color="auto"/>
            </w:tcBorders>
          </w:tcPr>
          <w:p>
            <w:pPr>
              <w:spacing w:after="0"/>
              <w:rPr>
                <w:sz w:val="24"/>
                <w:szCs w:val="24"/>
                <w:color w:val="auto"/>
              </w:rPr>
            </w:pPr>
          </w:p>
        </w:tc>
        <w:tc>
          <w:tcPr>
            <w:tcW w:w="176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5760" w:type="dxa"/>
            <w:vAlign w:val="bottom"/>
            <w:tcBorders>
              <w:top w:val="single" w:sz="8" w:color="CCEEFF"/>
              <w:bottom w:val="single" w:sz="8" w:color="auto"/>
            </w:tcBorders>
            <w:gridSpan w:val="7"/>
          </w:tcPr>
          <w:p>
            <w:pPr>
              <w:jc w:val="center"/>
              <w:ind w:right="348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11" w:name="page112"/>
    <w:bookmarkEnd w:id="111"/>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SunCar Technology Group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SunCar Technology Group Inc. and its subsidiaries (the “Group”) as of December 31, 2025 and 2024, the related consolidated statements of operations and comprehensive (loss) income, changes in shareholders’ equity and cash flows for each of the years ended December 31, 2025, 2024 and 2023 and the related notes (collectively referred to as the “consolidated financial statements”). In our opinion, the consolidated financial statements present fairly, in all material respects, the financial position of the Group as of December 31, 2025 and 2024, and the results of its operations and its cash flows for each of the years ended December 31, 2025, 2024 and 2023 in conformity with accounting principles generally accepted in the United States of America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Group’s management. Our responsibility is to express an opinion on the Group’s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Enrome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for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25,019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59,767</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70,171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74,072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196,273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183,296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software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30,821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2,243</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246,728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253,196</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80,394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41,404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6,659</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156,765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147,257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 non-current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12,516</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180,494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162,514</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21)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of $0.0001 per share; 400,000,000 Class A Ordinary shares authorized as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and 2025, respectively; 51,845,493 and 51,645,493 Class A Ordinary shares issued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2024; 59,608,351 and 55,969,794 Class A Ordinary shares issued and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December 31, 2025)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of $0.0001 per share; 100,000,000 Class B Ordinary shares authorized as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and 2025, respectively; 46,659,565 and 46,039,565 Class B Ordinary shares issued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2024 and 2025,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208,701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233,014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(195,387)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(199,329)</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(1,146)</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SUNCAR TECHNOLOGY GROUP INC’s shareholders’ equity</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11,892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32,550</w:t>
            </w:r>
          </w:p>
        </w:tc>
        <w:tc>
          <w:tcPr>
            <w:tcW w:w="10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54,342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58,132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66,234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90,682</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246,728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253,196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for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gridSpan w:val="8"/>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eInsurance service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118,109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170,549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212,568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30,658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44,892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53,619</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service</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214,979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226,456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223,104</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363,746</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441,897</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489,291</w:t>
            </w: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 and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(209,553)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(226,172)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expenses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(112,504)</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(164,262)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(197,045)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(20,578)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(22,462)</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(46,995)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(18,990)</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(14,111)</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(40,244)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(379,208</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(500,260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(485,406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(4,435)</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(4,529)</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of fair value of warrant liabilities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897</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5,001</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income/(expenses), net</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455</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(3,237)</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(5,938)</w:t>
            </w: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(15,007)</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(61,600)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(2,572)</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(2,853)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(17,579)</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(64,453)</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(2,399)</w:t>
            </w: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Pr>
          <w:p>
            <w:pPr>
              <w:spacing w:after="0"/>
              <w:rPr>
                <w:sz w:val="20"/>
                <w:szCs w:val="20"/>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9,333</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4,210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1,543</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Company’s ordinary shareholders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(26,912)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(68,663)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the Company’s ordinary shareholders per ordinary share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used in calculating basic and diluted loss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85,441,057</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95,996,861</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102,081,873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difference</w:t>
            </w:r>
          </w:p>
        </w:tc>
        <w:tc>
          <w:tcPr>
            <w:tcW w:w="220" w:type="dxa"/>
            <w:vAlign w:val="bottom"/>
          </w:tcPr>
          <w:p>
            <w:pPr>
              <w:spacing w:after="0"/>
              <w:rPr>
                <w:sz w:val="24"/>
                <w:szCs w:val="24"/>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(1,137)</w:t>
            </w:r>
          </w:p>
        </w:tc>
        <w:tc>
          <w:tcPr>
            <w:tcW w:w="20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(1,524)</w:t>
            </w:r>
          </w:p>
        </w:tc>
        <w:tc>
          <w:tcPr>
            <w:tcW w:w="16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2,818</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(loss)/income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(18,716)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(65,977)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419</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total comprehensive income attributable to non-controlling interest</w:t>
            </w:r>
          </w:p>
        </w:tc>
        <w:tc>
          <w:tcPr>
            <w:tcW w:w="220" w:type="dxa"/>
            <w:vAlign w:val="bottom"/>
          </w:tcPr>
          <w:p>
            <w:pPr>
              <w:spacing w:after="0"/>
              <w:rPr>
                <w:sz w:val="20"/>
                <w:szCs w:val="20"/>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8,087</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2,751</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4,075</w:t>
            </w:r>
          </w:p>
        </w:tc>
      </w:tr>
      <w:tr>
        <w:trPr>
          <w:trHeight w:val="180"/>
        </w:trPr>
        <w:tc>
          <w:tcPr>
            <w:tcW w:w="73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Total comprehensive loss attributable to the SUNCAR TECHNOLOGY GROUP INC’s</w:t>
            </w: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(26,803)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(68,728)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ind w:left="2460" w:right="2360" w:hanging="95"/>
        <w:spacing w:after="0" w:line="290" w:lineRule="auto"/>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 (In U.S. Dollar thousands, except for share and per share data, or otherwise noted)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Ordinary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Company’s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Accumulated  comprehensive</w:t>
            </w: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0"/>
        </w:trPr>
        <w:tc>
          <w:tcPr>
            <w:tcW w:w="124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(99,580) $</w:t>
            </w:r>
          </w:p>
        </w:tc>
        <w:tc>
          <w:tcPr>
            <w:tcW w:w="9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(1,476) $</w:t>
            </w:r>
          </w:p>
        </w:tc>
        <w:tc>
          <w:tcPr>
            <w:tcW w:w="9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(5,284) $</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31,971,435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49,628,565</w:t>
            </w:r>
          </w:p>
        </w:tc>
        <w:tc>
          <w:tcPr>
            <w:tcW w:w="5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95,764</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vMerge w:val="continue"/>
            <w:shd w:val="clear" w:color="auto" w:fill="CCEEFF"/>
          </w:tcPr>
          <w:p>
            <w:pPr>
              <w:spacing w:after="0"/>
              <w:rPr>
                <w:sz w:val="16"/>
                <w:szCs w:val="16"/>
                <w:color w:val="auto"/>
              </w:rPr>
            </w:pPr>
          </w:p>
        </w:tc>
        <w:tc>
          <w:tcPr>
            <w:tcW w:w="940" w:type="dxa"/>
            <w:vAlign w:val="bottom"/>
            <w:gridSpan w:val="3"/>
            <w:vMerge w:val="continue"/>
            <w:shd w:val="clear" w:color="auto" w:fill="CCEEFF"/>
          </w:tcPr>
          <w:p>
            <w:pPr>
              <w:spacing w:after="0"/>
              <w:rPr>
                <w:sz w:val="16"/>
                <w:szCs w:val="16"/>
                <w:color w:val="auto"/>
              </w:rPr>
            </w:pPr>
          </w:p>
        </w:tc>
        <w:tc>
          <w:tcPr>
            <w:tcW w:w="920" w:type="dxa"/>
            <w:vAlign w:val="bottom"/>
            <w:gridSpan w:val="4"/>
            <w:vMerge w:val="continue"/>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42,060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36,776</w:t>
            </w: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(loss)/profit</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1240" w:type="dxa"/>
            <w:vAlign w:val="bottom"/>
            <w:vMerge w:val="continue"/>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(26,912)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(26,912)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Adoption of</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(232)</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(264)</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ASC326</w:t>
            </w:r>
          </w:p>
        </w:tc>
        <w:tc>
          <w:tcPr>
            <w:tcW w:w="80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Reverse</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1,873,010</w:t>
            </w:r>
          </w:p>
        </w:tc>
        <w:tc>
          <w:tcPr>
            <w:tcW w:w="500" w:type="dxa"/>
            <w:vAlign w:val="bottom"/>
          </w:tcPr>
          <w:p>
            <w:pPr>
              <w:spacing w:after="0"/>
              <w:rPr>
                <w:sz w:val="10"/>
                <w:szCs w:val="10"/>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(2,506)</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(2,506)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0" w:type="dxa"/>
            <w:vAlign w:val="bottom"/>
          </w:tcPr>
          <w:p>
            <w:pPr>
              <w:spacing w:after="0"/>
              <w:rPr>
                <w:sz w:val="1"/>
                <w:szCs w:val="1"/>
                <w:color w:val="auto"/>
              </w:rPr>
            </w:pPr>
          </w:p>
        </w:tc>
      </w:tr>
      <w:tr>
        <w:trPr>
          <w:trHeight w:val="171"/>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recapitalization**</w:t>
            </w:r>
          </w:p>
        </w:tc>
        <w:tc>
          <w:tcPr>
            <w:tcW w:w="8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610,000</w:t>
            </w:r>
          </w:p>
        </w:tc>
        <w:tc>
          <w:tcPr>
            <w:tcW w:w="5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Public Rights**</w:t>
            </w:r>
          </w:p>
        </w:tc>
        <w:tc>
          <w:tcPr>
            <w:tcW w:w="80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 financing</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through Private</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2,173,657</w:t>
            </w:r>
          </w:p>
        </w:tc>
        <w:tc>
          <w:tcPr>
            <w:tcW w:w="500" w:type="dxa"/>
            <w:vAlign w:val="bottom"/>
          </w:tcPr>
          <w:p>
            <w:pPr>
              <w:spacing w:after="0"/>
              <w:rPr>
                <w:sz w:val="12"/>
                <w:szCs w:val="12"/>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21,736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21,736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21,736</w:t>
            </w:r>
          </w:p>
        </w:tc>
        <w:tc>
          <w:tcPr>
            <w:tcW w:w="0" w:type="dxa"/>
            <w:vAlign w:val="bottom"/>
          </w:tcPr>
          <w:p>
            <w:pPr>
              <w:spacing w:after="0"/>
              <w:rPr>
                <w:sz w:val="1"/>
                <w:szCs w:val="1"/>
                <w:color w:val="auto"/>
              </w:rPr>
            </w:pPr>
          </w:p>
        </w:tc>
      </w:tr>
      <w:tr>
        <w:trPr>
          <w:trHeight w:val="171"/>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Placement**</w:t>
            </w:r>
          </w:p>
        </w:tc>
        <w:tc>
          <w:tcPr>
            <w:tcW w:w="8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ordinary</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net of</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3,255,988</w:t>
            </w:r>
          </w:p>
        </w:tc>
        <w:tc>
          <w:tcPr>
            <w:tcW w:w="50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18,467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18,468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18,468</w:t>
            </w: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offering costs</w:t>
            </w:r>
          </w:p>
        </w:tc>
        <w:tc>
          <w:tcPr>
            <w:tcW w:w="80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Offering costs in the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(910)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171"/>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Combination</w:t>
            </w:r>
          </w:p>
        </w:tc>
        <w:tc>
          <w:tcPr>
            <w:tcW w:w="8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GEM</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1,818</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1,818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0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192,403</w:t>
            </w:r>
          </w:p>
        </w:tc>
        <w:tc>
          <w:tcPr>
            <w:tcW w:w="500" w:type="dxa"/>
            <w:vAlign w:val="bottom"/>
          </w:tcPr>
          <w:p>
            <w:pPr>
              <w:spacing w:after="0"/>
              <w:rPr>
                <w:sz w:val="10"/>
                <w:szCs w:val="10"/>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2,213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2,213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2,213</w:t>
            </w:r>
          </w:p>
        </w:tc>
        <w:tc>
          <w:tcPr>
            <w:tcW w:w="0" w:type="dxa"/>
            <w:vAlign w:val="bottom"/>
          </w:tcPr>
          <w:p>
            <w:pPr>
              <w:spacing w:after="0"/>
              <w:rPr>
                <w:sz w:val="1"/>
                <w:szCs w:val="1"/>
                <w:color w:val="auto"/>
              </w:rPr>
            </w:pPr>
          </w:p>
        </w:tc>
      </w:tr>
      <w:tr>
        <w:trPr>
          <w:trHeight w:val="171"/>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repurchase</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0"/>
                <w:szCs w:val="10"/>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9,578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9,578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2,029</w:t>
            </w:r>
          </w:p>
        </w:tc>
        <w:tc>
          <w:tcPr>
            <w:tcW w:w="16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11,607</w:t>
            </w:r>
          </w:p>
        </w:tc>
        <w:tc>
          <w:tcPr>
            <w:tcW w:w="0" w:type="dxa"/>
            <w:vAlign w:val="bottom"/>
          </w:tcPr>
          <w:p>
            <w:pPr>
              <w:spacing w:after="0"/>
              <w:rPr>
                <w:sz w:val="1"/>
                <w:szCs w:val="1"/>
                <w:color w:val="auto"/>
              </w:rPr>
            </w:pPr>
          </w:p>
        </w:tc>
      </w:tr>
      <w:tr>
        <w:trPr>
          <w:trHeight w:val="171"/>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97"/>
        </w:trPr>
        <w:tc>
          <w:tcPr>
            <w:tcW w:w="1240" w:type="dxa"/>
            <w:vAlign w:val="bottom"/>
            <w:tcBorders>
              <w:top w:val="single" w:sz="8" w:color="CCEEFF"/>
            </w:tcBorders>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40,076,493</w:t>
            </w:r>
          </w:p>
        </w:tc>
        <w:tc>
          <w:tcPr>
            <w:tcW w:w="100" w:type="dxa"/>
            <w:vAlign w:val="bottom"/>
          </w:tcPr>
          <w:p>
            <w:pPr>
              <w:spacing w:after="0"/>
              <w:rPr>
                <w:sz w:val="22"/>
                <w:szCs w:val="22"/>
                <w:color w:val="auto"/>
              </w:rPr>
            </w:pPr>
          </w:p>
        </w:tc>
        <w:tc>
          <w:tcPr>
            <w:tcW w:w="500" w:type="dxa"/>
            <w:vAlign w:val="bottom"/>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49,628,565</w:t>
            </w:r>
          </w:p>
        </w:tc>
        <w:tc>
          <w:tcPr>
            <w:tcW w:w="5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w:t>
            </w:r>
          </w:p>
        </w:tc>
        <w:tc>
          <w:tcPr>
            <w:tcW w:w="142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(200,000) $</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144,160</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(126,724)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(1,367) $</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16,078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51,912</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67,990</w:t>
            </w:r>
          </w:p>
        </w:tc>
        <w:tc>
          <w:tcPr>
            <w:tcW w:w="0" w:type="dxa"/>
            <w:vAlign w:val="bottom"/>
          </w:tcPr>
          <w:p>
            <w:pPr>
              <w:spacing w:after="0"/>
              <w:rPr>
                <w:sz w:val="1"/>
                <w:szCs w:val="1"/>
                <w:color w:val="auto"/>
              </w:rPr>
            </w:pPr>
          </w:p>
        </w:tc>
      </w:tr>
      <w:tr>
        <w:trPr>
          <w:trHeight w:val="148"/>
        </w:trPr>
        <w:tc>
          <w:tcPr>
            <w:tcW w:w="12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(loss)/profit</w:t>
            </w: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(68,663)</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(68,663)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(64,453)</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transfer from</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B ordinary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to Class A</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2,969,000</w:t>
            </w:r>
          </w:p>
        </w:tc>
        <w:tc>
          <w:tcPr>
            <w:tcW w:w="500" w:type="dxa"/>
            <w:vAlign w:val="bottom"/>
          </w:tcPr>
          <w:p>
            <w:pPr>
              <w:spacing w:after="0"/>
              <w:rPr>
                <w:sz w:val="12"/>
                <w:szCs w:val="12"/>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(2,969,000)</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ordinary shares</w:t>
            </w:r>
          </w:p>
        </w:tc>
        <w:tc>
          <w:tcPr>
            <w:tcW w:w="8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8,800,000</w:t>
            </w:r>
          </w:p>
        </w:tc>
        <w:tc>
          <w:tcPr>
            <w:tcW w:w="5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61,793</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61,794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2,052</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63,846</w:t>
            </w: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Repurchase of non-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(1,756)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(1,756)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(2,373)</w:t>
            </w:r>
          </w:p>
        </w:tc>
        <w:tc>
          <w:tcPr>
            <w:tcW w:w="16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0" w:type="dxa"/>
            <w:vAlign w:val="bottom"/>
          </w:tcPr>
          <w:p>
            <w:pPr>
              <w:spacing w:after="0"/>
              <w:rPr>
                <w:sz w:val="1"/>
                <w:szCs w:val="1"/>
                <w:color w:val="auto"/>
              </w:rPr>
            </w:pPr>
          </w:p>
        </w:tc>
      </w:tr>
      <w:tr>
        <w:trPr>
          <w:trHeight w:val="171"/>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(1,459)</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w:t>
            </w:r>
          </w:p>
        </w:tc>
        <w:tc>
          <w:tcPr>
            <w:tcW w:w="80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Gains on debt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4,504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4,504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4,504</w:t>
            </w:r>
          </w:p>
        </w:tc>
        <w:tc>
          <w:tcPr>
            <w:tcW w:w="0" w:type="dxa"/>
            <w:vAlign w:val="bottom"/>
          </w:tcPr>
          <w:p>
            <w:pPr>
              <w:spacing w:after="0"/>
              <w:rPr>
                <w:sz w:val="1"/>
                <w:szCs w:val="1"/>
                <w:color w:val="auto"/>
              </w:rPr>
            </w:pPr>
          </w:p>
        </w:tc>
      </w:tr>
      <w:tr>
        <w:trPr>
          <w:trHeight w:val="110"/>
        </w:trPr>
        <w:tc>
          <w:tcPr>
            <w:tcW w:w="124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51,845,493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46,659,565</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(200,000)</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208,701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(195,387)</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(1,432)</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11,892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54,342</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66,234</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(loss)/profit</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1240" w:type="dxa"/>
            <w:vAlign w:val="bottom"/>
            <w:vMerge w:val="continue"/>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(259)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1,567</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1,308</w:t>
            </w: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ordinary</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net of</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7,142,858</w:t>
            </w:r>
          </w:p>
        </w:tc>
        <w:tc>
          <w:tcPr>
            <w:tcW w:w="500" w:type="dxa"/>
            <w:vAlign w:val="bottom"/>
          </w:tcPr>
          <w:p>
            <w:pPr>
              <w:spacing w:after="0"/>
              <w:rPr>
                <w:sz w:val="12"/>
                <w:szCs w:val="12"/>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41,630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41,631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41,631</w:t>
            </w:r>
          </w:p>
        </w:tc>
        <w:tc>
          <w:tcPr>
            <w:tcW w:w="0" w:type="dxa"/>
            <w:vAlign w:val="bottom"/>
          </w:tcPr>
          <w:p>
            <w:pPr>
              <w:spacing w:after="0"/>
              <w:rPr>
                <w:sz w:val="1"/>
                <w:szCs w:val="1"/>
                <w:color w:val="auto"/>
              </w:rPr>
            </w:pPr>
          </w:p>
        </w:tc>
      </w:tr>
      <w:tr>
        <w:trPr>
          <w:trHeight w:val="171"/>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offering costs</w:t>
            </w:r>
          </w:p>
        </w:tc>
        <w:tc>
          <w:tcPr>
            <w:tcW w:w="8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transfer from</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B ordinary</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to Class A</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620,000</w:t>
            </w:r>
          </w:p>
        </w:tc>
        <w:tc>
          <w:tcPr>
            <w:tcW w:w="50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(620,000)</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ordinary shares**</w:t>
            </w:r>
          </w:p>
        </w:tc>
        <w:tc>
          <w:tcPr>
            <w:tcW w:w="80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0"/>
                <w:szCs w:val="10"/>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(3,438,557)</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(15,760)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(15,760)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(15,760)</w:t>
            </w:r>
          </w:p>
        </w:tc>
        <w:tc>
          <w:tcPr>
            <w:tcW w:w="0" w:type="dxa"/>
            <w:vAlign w:val="bottom"/>
          </w:tcPr>
          <w:p>
            <w:pPr>
              <w:spacing w:after="0"/>
              <w:rPr>
                <w:sz w:val="1"/>
                <w:szCs w:val="1"/>
                <w:color w:val="auto"/>
              </w:rPr>
            </w:pPr>
          </w:p>
        </w:tc>
      </w:tr>
      <w:tr>
        <w:trPr>
          <w:trHeight w:val="171"/>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w:t>
            </w:r>
          </w:p>
        </w:tc>
        <w:tc>
          <w:tcPr>
            <w:tcW w:w="8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Repurchase of non-</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(1,298)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(1,852)</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(3,150)</w:t>
            </w: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translation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2,532</w:t>
            </w:r>
          </w:p>
        </w:tc>
        <w:tc>
          <w:tcPr>
            <w:tcW w:w="1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2,818</w:t>
            </w:r>
          </w:p>
        </w:tc>
        <w:tc>
          <w:tcPr>
            <w:tcW w:w="0" w:type="dxa"/>
            <w:vAlign w:val="bottom"/>
          </w:tcPr>
          <w:p>
            <w:pPr>
              <w:spacing w:after="0"/>
              <w:rPr>
                <w:sz w:val="1"/>
                <w:szCs w:val="1"/>
                <w:color w:val="auto"/>
              </w:rPr>
            </w:pPr>
          </w:p>
        </w:tc>
      </w:tr>
      <w:tr>
        <w:trPr>
          <w:trHeight w:val="110"/>
        </w:trPr>
        <w:tc>
          <w:tcPr>
            <w:tcW w:w="124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59,608,351</w:t>
            </w:r>
          </w:p>
        </w:tc>
        <w:tc>
          <w:tcPr>
            <w:tcW w:w="5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46,039,565</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(3,638,557)</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233,014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(199,329)</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(1,146)</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32,550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58,132</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90,682</w:t>
            </w: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as of December 31, 2022 are related to the reverse recapitalization on May 17, 2023 for the business combination and presented on a retroactive basis to reflect the reverse recapitalization.</w:t>
      </w:r>
    </w:p>
    <w:p>
      <w:pPr>
        <w:spacing w:after="0" w:line="162"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Class A Ordinary Shares were less than one thousand dollars.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Treasury shares were less than one thousand dollars.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31" w:gutter="0" w:footer="0" w:header="0"/>
        </w:sectPr>
      </w:pPr>
    </w:p>
    <w:bookmarkStart w:id="115" w:name="page116"/>
    <w:bookmarkEnd w:id="115"/>
    <w:p>
      <w:pPr>
        <w:jc w:val="center"/>
        <w:ind w:left="340" w:right="2440"/>
        <w:spacing w:after="0" w:line="268" w:lineRule="auto"/>
        <w:rPr>
          <w:sz w:val="20"/>
          <w:szCs w:val="20"/>
          <w:color w:val="auto"/>
        </w:rPr>
      </w:pPr>
      <w:r>
        <w:rPr>
          <w:rFonts w:ascii="Times New Roman" w:cs="Times New Roman" w:eastAsia="Times New Roman" w:hAnsi="Times New Roman"/>
          <w:sz w:val="18"/>
          <w:szCs w:val="18"/>
          <w:b w:val="1"/>
          <w:bCs w:val="1"/>
          <w:color w:val="auto"/>
        </w:rPr>
        <w:t>SUNCAR TECHNOLOGY GROUP INC CONSOLIDATED STATEMENTS OF CASH FLOWS (In U.S. Dollar thousands, except for share and per share data, or otherwise noted)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(17,579)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(64,453)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provision for credit losses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4,114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4,503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of subsidiary</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1,519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of the Group</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9,776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62,040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(Gain)/Loss on disposal of property, software and equipment</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expense related to issuance of GEM Warrants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liability for GEM litigation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30,822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(22,710)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14,936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(55,908)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3,140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31,345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1,913</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net cash (used in)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(27,651</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11,841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software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(4,928)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software and equipment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acquisition of an insurance license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investment</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(21,636)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redemption of short-term investment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21,657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Payment of securities margin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other non-current assets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(1,721)</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(11,623)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(2,394</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(12,147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(12,903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104,506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105,870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104,625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short-term borrowings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(93,970)</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(102,993)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(111,304)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borrowing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Payment for GEM litigation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payables to a related party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shares, net of issuance cost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18,468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41,631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required on reverse recapitalization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21,737</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offering cost related to Business Combination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Shares repurchase</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non-controlling interests</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(4,129)</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9,678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beginning of the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23,917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33,595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29,512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year</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33,595</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29,512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27,860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 to the consolidated balance sheets: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30,854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26,865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25,019</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restricted cash</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33,595</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29,512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27,860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paid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3,666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Decrease of accrued expenses and other current liabilities due to vest of restricted shares</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software and equipment transferred from other non-current assets</w:t>
            </w: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3,728</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9,877</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Obtaining right-of-use assets in exchange for operating lease liabilities</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1,702</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2,328</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financing expense related to issuance of GEM Warrants</w:t>
            </w: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1,442</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835</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payables to a related party (Note 19)</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4,504</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Auto Services Group Limited (“SunCar”) was incorporated under the laws of the British Virgin Islands (“BVI”) on September 19, 2012 and continued in the Cayman Islands in accordance with applicable laws.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23, 2022, SunCar entered into the Agreement and Plan of Merger (“Merger Agreement”) with Goldenbridge Acquisition Limited (“Goldenbridge”), SunCar Technology Group Inc. (“SunCar Technology”, or the “Company”), and SunCar Technology Global Inc (the “Merger Sub”), a Cayman Islands exempted company and wholly owned subsidiary of SunCar Technology. Pursuant to the Merger Agreement, at the closing of the transactions (the “Business Combination”, or the “Transaction”) contemplated by the Merger Agreement (the “Closing”), (i) Goldenbridge was merged with and into SunCar Technology, with Goldenbridge ceasing to exist and SunCar Technology continuing as the surviving corporation; and (ii) the Merger Sub was merged with and into SunCar, with the Merger Sub ceasing to exist and SunCar continuing as the surviving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through its wholly-owned subsidiaries (collectively, the “Group”), primarily engages in providing auto eInsurance service, technology service and auto service in the People’s Republic of China (“PRC” or “China”).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 Car Online Insurance Agency Co., Ltd. (“SunCar Online”) was incorporated under the laws of PRC on December 5, 2007, and along with its subsidiaries, constitutes the Group’s main operating entities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17, 2023 (the “Closing Date”), following the approval at a Special Meeting of the shareholders on April 14, 2023, Goldenbridge and SunCar Technology consummated the closing of the Transaction contemplated by the Merger Agreement. Following the consummation of the Transaction, Goldenbridge became a wholly-owned subsidiary of SunCar Technology, and all outstanding shares of Goldenbridge were converted into the right to receive shares of SunCar Technology. Goldenbridge ceased its existence. The combined company retained the name SunCar Technology.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SunCar was determined to be the accounting acquirer, as it effectively controlled the combined entity after the Transaction. The Transaction is not accounted for as a business combination because Goldenbridge did not meet the definition of a business. Instead, the Transaction is accounted for as a reverse recapitalization, which is equivalent to the issuance of shares by SunCar for the net monetary assets of the Company, accompanied by a recapitalization. Accordingly, SunCar is determined as the accounting acquirer, and its historical financial statements became the Company’s historical financial statements, with retrospective adjustments to give effect of the reverse recapitalization. All of the ordinary shares and convertible preferred shares of SunCar that were issued and outstanding immediately prior to the Transaction were cancelled and converted into an aggregate of 31,971,435 Class A ordinary shares and 49,628,565 Class B ordinary shares, which have been restated retrospectively to reflect the equity structure of the Company. The par value of ordinary shares changed from $0.00005 to $0.0001, the difference of $3 was adjusted retrospectively as in addition paid-in capital as of December 31,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SunCar’s major subsidiaries are as follows: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Place of</w:t>
            </w: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00" w:type="dxa"/>
            <w:vAlign w:val="bottom"/>
          </w:tcPr>
          <w:p>
            <w:pPr>
              <w:spacing w:after="0"/>
              <w:rPr>
                <w:sz w:val="18"/>
                <w:szCs w:val="18"/>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4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Incorporation</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00" w:type="dxa"/>
            <w:vAlign w:val="bottom"/>
          </w:tcPr>
          <w:p>
            <w:pPr>
              <w:spacing w:after="0"/>
              <w:rPr>
                <w:sz w:val="21"/>
                <w:szCs w:val="21"/>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Activities</w:t>
            </w:r>
          </w:p>
        </w:tc>
      </w:tr>
      <w:tr>
        <w:trPr>
          <w:trHeight w:val="198"/>
        </w:trPr>
        <w:tc>
          <w:tcPr>
            <w:tcW w:w="51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Sun Car Online Insurance Agency Co., Ltd. (“SUNCAR Online”)</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December 5, 2007</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Auto eInsurance</w:t>
            </w:r>
          </w:p>
        </w:tc>
      </w:tr>
      <w:tr>
        <w:trPr>
          <w:trHeight w:val="234"/>
        </w:trPr>
        <w:tc>
          <w:tcPr>
            <w:tcW w:w="5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51.16%*</w:t>
            </w:r>
          </w:p>
        </w:tc>
        <w:tc>
          <w:tcPr>
            <w:tcW w:w="1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Shanghai Feiyou Trading Co., Limited (“Shanghai Feiyou”)</w:t>
            </w:r>
          </w:p>
        </w:tc>
        <w:tc>
          <w:tcPr>
            <w:tcW w:w="18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June 11, 2009</w:t>
            </w:r>
          </w:p>
        </w:tc>
        <w:tc>
          <w:tcPr>
            <w:tcW w:w="13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Technology</w:t>
            </w:r>
          </w:p>
        </w:tc>
      </w:tr>
      <w:tr>
        <w:trPr>
          <w:trHeight w:val="234"/>
        </w:trPr>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services</w:t>
            </w: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Shanghai Xuanbei Automobile Service Co., Limited (“Shanghai</w:t>
            </w:r>
          </w:p>
        </w:tc>
        <w:tc>
          <w:tcPr>
            <w:tcW w:w="18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April 26, 2018</w:t>
            </w:r>
          </w:p>
        </w:tc>
        <w:tc>
          <w:tcPr>
            <w:tcW w:w="13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Xuanbei”)</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Auto service</w:t>
            </w: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Shanghai Shengshi Dalian Automobile Service Co., Limited (“Shengda</w:t>
            </w:r>
          </w:p>
        </w:tc>
        <w:tc>
          <w:tcPr>
            <w:tcW w:w="18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June 8, 2013</w:t>
            </w:r>
          </w:p>
        </w:tc>
        <w:tc>
          <w:tcPr>
            <w:tcW w:w="13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84.52%</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 service</w:t>
            </w: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Haiyan Trading (Shanghai) Co., Limited (“Haiyan”)</w:t>
            </w:r>
          </w:p>
        </w:tc>
        <w:tc>
          <w:tcPr>
            <w:tcW w:w="18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November 22, 2012</w:t>
            </w:r>
          </w:p>
        </w:tc>
        <w:tc>
          <w:tcPr>
            <w:tcW w:w="13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Holding</w:t>
            </w:r>
          </w:p>
        </w:tc>
      </w:tr>
      <w:tr>
        <w:trPr>
          <w:trHeight w:val="234"/>
        </w:trPr>
        <w:tc>
          <w:tcPr>
            <w:tcW w:w="5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w:t>
            </w: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Jiangxi Jiayi Auto Insurance Agency Co., Ltd. (“Jiangxi Jiayi”)</w:t>
            </w:r>
          </w:p>
        </w:tc>
        <w:tc>
          <w:tcPr>
            <w:tcW w:w="18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November 5, 2025</w:t>
            </w:r>
          </w:p>
        </w:tc>
        <w:tc>
          <w:tcPr>
            <w:tcW w:w="13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PRC</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Auto eInsurance</w:t>
            </w:r>
          </w:p>
        </w:tc>
      </w:tr>
      <w:tr>
        <w:trPr>
          <w:trHeight w:val="234"/>
        </w:trPr>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service</w:t>
            </w:r>
          </w:p>
        </w:tc>
      </w:tr>
    </w:tbl>
    <w:p>
      <w:pPr>
        <w:spacing w:after="0" w:line="225" w:lineRule="exact"/>
        <w:rPr>
          <w:sz w:val="20"/>
          <w:szCs w:val="20"/>
          <w:color w:val="auto"/>
        </w:rPr>
      </w:pPr>
    </w:p>
    <w:p>
      <w:pPr>
        <w:jc w:val="both"/>
        <w:ind w:left="380" w:right="40" w:hanging="345"/>
        <w:spacing w:after="0" w:line="261"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18, 2025, the People’s Court of Songjiang District, Shanghai, issued a judgment to revoke, within the amount of the creditor’s rights confirmed in the civil mediation agreement in favor of the plaintiff, the equity transfer of SunCar Online by the defendant, Zhejiang Shengling Automotive Service Co., Ltd. (formerly known as Shengda Automobile Service Group Co. Limited, or “Shengda Group”), to Shanghai Feiyou, and ordered the restoration of the equity ownership. Shanghai Feiyou subsequently filed an appeal against the judgment.</w:t>
      </w:r>
    </w:p>
    <w:p>
      <w:pPr>
        <w:spacing w:after="0" w:line="179" w:lineRule="exact"/>
        <w:rPr>
          <w:rFonts w:ascii="Times New Roman" w:cs="Times New Roman" w:eastAsia="Times New Roman" w:hAnsi="Times New Roman"/>
          <w:sz w:val="18"/>
          <w:szCs w:val="18"/>
          <w:color w:val="auto"/>
        </w:rPr>
      </w:pPr>
    </w:p>
    <w:p>
      <w:pPr>
        <w:jc w:val="both"/>
        <w:ind w:left="38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2025, the People’s Court upheld the original judgement. Considering the amount of the plaintiff’s claim against Shengda Group, Shanghai Feiyou’s equity interest in SunCar Online was reduced from 55.34% to 48.11% as of December 31, 2025. According to concerted action arrangements between Shanghai Feiyou and other shareholders, which still collectively hold an aggregate equity interest of 51.16% in SunCar Online, the Group believes that the outcome of this dispute will not affect Shanghai Feiyou’s effective control over SunCar Online. As of the issuance date of the audited consolidated financial statements, the judgment has not yet been enforced.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with the rules and regulations of the U.S. Securities Exchange Commission (“SEC”).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intercompany transactions and balances among the Company and its subsidiaries have been eliminated upon consolidation. A subsidiary is an entity in which (i) the Company directly or indirectly controls more than 50% of the voting power; or (ii) the Company has the power to appoint or remove the majority of the members of the board of directors or to cast a majority of votes at the meetings of the board of directors or to govern the financial and operating activities.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consolidated financial statements and accompanying notes. Significant accounting estimates include, but not limited to, the allowance for credit losses, useful lives and impairment of long-lived assets, share-based compensation, long-term investment, valuation allowances of deferred tax assets, and warrant liabilities. Changes in facts and circumstances may result in revised estimates. Actual results could differ from those estimates, and as such, differences may be material to the consolidated financial statements.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 Cash</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consist of cash on hand and cash in banks, which is unrestricted as to withdrawal and use, and has original maturities of three months or less. The Group maintains cash with various financial institutions in China. The Group has not experienced any losses in bank accounts and believes it is not exposed to any risks on its cash in bank accounts.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 Restricted cash</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represented a guaranteed deposit required by China Banking and Insurance Regulatory Commission (“CBIRC”) in order to protect insurance premium appropriation by insurance agency which is restricted as to withdrawal for other than current operations.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 Accounts receivable, net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are recorded at the gross billing amount less an allowance for any uncollectible accounts due from the customers. Accounts receivable do not bear interest.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January 1, 2022, the Company adopted Accounting Standards Update (“ASU”) No. 2016-13, Financial Instruments-Credit Losses (Topic 326): Measurement of Credit Losses on Financial Instruments (“ASU 2016-13”), using the modified retrospective transition method. ASU 2016-13 replaces the existing incurred loss impairment model with an expected loss methodology, which will result in more timely recognition of credit losses. Upon adoption, the Company changed the impairment model to utilize a forward-looking current expected credit losses (CECL) model in place of the incurred loss methodology for financial instruments measured at amortized cost and receivables resulting from the application of ASC 606, including contract assets.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maintains an allowance for credit losses and records the allowance for credit losses as an offset to accounts receivable and the estimated credit losses charged to the allowance is classified as “General and administrative expenses” in the audited consolidated statements of comprehensive income. The Group assesses collectability by reviewing accounts receivable on a collective basis where similar characteristics exist, primarily based on similar business lines, and on an individual basis when the Group identifies specific customers with known disputes or collectability issues. In determining the amount of the allowance for credit losses, the Group considers historical collectability based on past due status, the age of the balances, current economic conditions, reasonable and supportable forecasts of future economic conditions, and other factors that may affect the Group’s ability to collect from customers. Delinquent account balances are written-off against the allowance for expected credit loss.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reversed credit losses of $4,112 for the year ended December 31, 2023, recognized credit losses of $1,314 for the year ended December 31, 2024, and recognized credit losses of $3,695 for the year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  Short-term investment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invested in certain trust products and bank financial products, with various interest rates and are restricted as to withdrawal and use before maturity. The Group classifies the trust and financial products as held-to-maturity securities. The original maturities of the short-term investments are longer than three months, but shorter than one year. The carrying amount of these short-term investments approximate their fair values due to the short-term maturity of these investments.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reviews its short-term investments for other-than-temporary impairment (“OTTI”) based on the specific identification method. The Group considers available quantitative and qualitative evidence to evaluate the potential impairment of its short-term investments. If the carrying amount of an investment exceeds the investment’s fair value, the Group considers, among other factors, general market conditions, expected future performance of the investees, the duration and the extent to which the fair value of the investment is less than the carrying amount, and the Group’s intent and ability to hold the investments. OTTI is recognized as a loss in the consolidation statements of operations and comprehensive (loss)/income. No impairment charge was recognized for the years ended December 31, 2023, 2024 and 2025.</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 Prepaid expenses and other current assets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Prepaid expenses and other current assets primarily consist of advances to suppliers, value-added tax receivables, and other current assets. Advances to suppliers are prepayment to suppliers in the procurement of services from promotion service providers, technology service providers and auto service providers. Advance payment depends on specific circumstances, including the industry practice, negotiations with suppliers, security for steady supply of service, and the delivery time of services received from suppliers after the advance payment. Advances to suppliers is settled when the services are provided and accepted by the Group. The Group reviews its advances to suppliers on a periodic basis and records impairment losses when it is determined that the carrying amounts are not expected to be recoverable, either through the receipt of services or refund.</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 Property, software and equipment, 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software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and residual value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lives</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 years</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10 years</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the shorter of lease term or the estimated useful lives of the assets</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 costs associated with internal-use software are capitalized and include external direct costs of services principally related to platform development, including support systems, software coding, designing system interfaces, and installation and testing of the software. These costs are recorded as property, software and equipment and are generally amortized when the asset is substantially ready for use. Costs incurred for enhancements that are expected to result in additional features or functionalities are capitalized and amortized over the estimated useful life of the enhancements. Costs incurred during the preliminary project stage, as well as maintenance and training costs, are expensed as incurred.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Repair and maintenance costs are charged to expenses as incurred, whereas the cost of renewals and betterment that extends the useful lives of property, software and equipment are capitalized as additions to the related assets. Retirements, sales and disposals of assets are recorded by removing the costs, accumulated depreciation and impairment with any resulting gain or loss recognized 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Intangible asset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 consists of insurance brokerage license, which is recognized as an intangible asset with indefinite life and evaluated for impairment at least annually or if events or changes in circumstances indicate that the asset might be impaired. Such impairment test compares the fair value of the asset with its carrying value amounts and an impairment loss is recognized if and when the carrying amounts exceed the fair value. The estimates of values of the intangible asset not subject to amortization are determined using discounted cash flow valuation approach. Significant assumptions are inherent in this process, including estimates of discount rates and cash flow.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22"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Other non-current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recognizes other non-current assets, which primarily consisted of private clouds and other clouds infrastructure, artificial intelligence platform in construction, securities margin and advance to employees. Private clouds, other clouds infrastructure and artificial intelligence platform in construction are recorded at the cumulative cost incurred, including the purchase price and any directly attributable costs to it. Securities margin and advance to employees are expected to be recovered over twelve months after the reporting date.</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(k). Impairment of long-lived assets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which is determined through various valuation techniques including discounted cash flow models, quoted market values and third-party independent appraisals, as considered necessary. No impairment charge was recognized for the years ended December 31, 2023, 2024 and 2025.</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  Long-term investments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Beginning on January 1, 2018, the Group’s equity investments without readily determinable fair values, which do not qualify for the existing practical expedient in ASC Topic 820, Fair Value Measurements and Disclosures (“ASC 820”), to estimate fair value using the net asset value per share (or its equivalent) of the investment (“NAV practical expedient”), and over which the Group does not have the ability to exercise significant influence through the investments in common stock or in substance common stock, are accounted for under the measurement alternative upon the adoption of ASU 2016-01 (the “Measurement Alternative”). Under the Measurement Alternative, the carrying value is measured at cost, less any impairment, plus or minus changes resulting from observable price changes in orderly transactions for identical or similar investments of the same issuer. All gains and losses on these investments, realized and unrealized, are recognized in the consolidated statements of operations and comprehensive loss. The Group makes assessment of whether an investment is impaired based on performance and financial position of the investee as well as other evidence of market value at each reporting date. Such assessment includes, but is not limited to, reviewing the investee’s cash position, recent financing, as well as the financial and business performance. The Group recognizes an impairment loss equal to the difference between the carrying value and fair value in the consolidated statements of operations and comprehensive income/(loss) if any.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20, 2019, Jiaxing Hanchao Equity Investment Partnership (L.P.) (“Jiaxing Hanchao”) was incorporated. Pursuant to the partnership agreement, SUNCAR Online invested $290, accounting for 5% of the total investment as a limited partner. The investment was accounted for under the cost method as the Group had no significant influence over the investee and Jiaxing Hanchao had no readily determinable fair value.</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 Accounts payable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payable is payable to suppliers in the procurement of service to auto service providers to customized services for end consumers of the enterprise customers, and promotional service to channels.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 Borrowings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consisted of short-term loans and long-term loans, which represent the Group’s borrowings from commercial banks for the Group’s working capital. Short-term loans include borrowings with maturity terms shorter than one year. Long-term loans include borrowings with maturity terms longer than one year, including the current portion of long-term debt that is due within twelve months.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 Related party</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 Warrant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accounts for warrants as either equity-classified or liability-classified instruments based on an assessment of the warrant’s specific terms and applicable authoritative guidance in Financial Accounting Standards Board (“FASB”) Accounting Standards Codification (“ASC”), “Distinguishing Liabilities from Equity” (“ASC 480”) and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Warrants was estimated using a Black-Scholes model. For the years ended December 31, 2024 and 2025, the Group recognized change of fair value of the Private Warrants of $286 and $897, respectively.</w:t>
      </w:r>
    </w:p>
    <w:p>
      <w:pPr>
        <w:spacing w:after="0" w:line="206"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 are:</w:t>
      </w:r>
    </w:p>
    <w:p>
      <w:pPr>
        <w:spacing w:after="0" w:line="203" w:lineRule="exact"/>
        <w:rPr>
          <w:sz w:val="20"/>
          <w:szCs w:val="20"/>
          <w:color w:val="auto"/>
        </w:rPr>
      </w:pPr>
    </w:p>
    <w:p>
      <w:pPr>
        <w:ind w:left="740" w:hanging="354"/>
        <w:spacing w:after="0"/>
        <w:tabs>
          <w:tab w:leader="none" w:pos="7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2—Include other inputs that are directly or indirectly observable in the marketplace.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Fair value measurement -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accounts receivable, short-term investments, other receivables and other current assets, long-term investment, short-term borrowings, accounts payable, other payables included in accrued expenses and other current liabilities, and warrant liabilities. As of December 31, 2024 and 2025, the carrying amounts of other financial instruments approximated to their fair values due to the short-term maturity of these instruments. For short-term borrowings and long-term borrowings, the fair value approximates their carrying value at the year-end as the fair value is estimated by used discounted cash flow, in which interest rates used to discount the bank loans approximate market rates. The warrant liabilities were measured at fair value using unobservable inputs and categorized in Level 3 of the fair value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non-financial assets, such as property, software and equipment, would be measured at fair value only if they were determined to be impaired.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fair value measurements of liabilities that were measured at fair value on a recurring basis based on the following three-tiered fair value hierarchy per ASC 820, Fair Value Measurement, as of December 31, 2024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w:t>
            </w: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 fair</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947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r>
      <w:tr>
        <w:trPr>
          <w:trHeight w:val="439"/>
        </w:trPr>
        <w:tc>
          <w:tcPr>
            <w:tcW w:w="59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 fair</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Private Warrants (See Note 13) is considered a Level 3 valuation and is determined using the Black-Scholes valuation model. As of December 31, 2024 and 2025, the fair value of the Private Warrants was $5.23 and $0.10 per share respectively, with an exercise price of $11.50 per share. The changes for Level 3 items measured at fair value on a recurring basis using significant unobservable inputs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Private</w:t>
            </w:r>
          </w:p>
        </w:tc>
      </w:tr>
      <w:tr>
        <w:trPr>
          <w:trHeight w:val="245"/>
        </w:trPr>
        <w:tc>
          <w:tcPr>
            <w:tcW w:w="10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Fair value as of December 31, 2024</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947</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10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(897)</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unobservable inputs used in the measurement of fair value of Private Warrant as of December 31, 2024 and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36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620" w:type="dxa"/>
            <w:vAlign w:val="bottom"/>
          </w:tcPr>
          <w:p>
            <w:pPr>
              <w:spacing w:after="0"/>
              <w:rPr>
                <w:sz w:val="21"/>
                <w:szCs w:val="21"/>
                <w:color w:val="auto"/>
              </w:rPr>
            </w:pPr>
          </w:p>
        </w:tc>
        <w:tc>
          <w:tcPr>
            <w:tcW w:w="6080" w:type="dxa"/>
            <w:vAlign w:val="bottom"/>
            <w:gridSpan w:val="2"/>
          </w:tcPr>
          <w:p>
            <w:pPr>
              <w:jc w:val="center"/>
              <w:ind w:left="48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1"/>
                <w:szCs w:val="21"/>
                <w:color w:val="auto"/>
              </w:rPr>
            </w:pP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6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82.07%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67.57%</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637"/>
        </w:trPr>
        <w:tc>
          <w:tcPr>
            <w:tcW w:w="36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jc w:val="right"/>
              <w:ind w:right="4180"/>
              <w:spacing w:after="0"/>
              <w:rPr>
                <w:sz w:val="20"/>
                <w:szCs w:val="20"/>
                <w:color w:val="auto"/>
              </w:rPr>
            </w:pPr>
            <w:r>
              <w:rPr>
                <w:rFonts w:ascii="Times New Roman" w:cs="Times New Roman" w:eastAsia="Times New Roman" w:hAnsi="Times New Roman"/>
                <w:sz w:val="18"/>
                <w:szCs w:val="18"/>
                <w:color w:val="auto"/>
              </w:rPr>
              <w:t>F-13</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 Revenue recognition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revenues are mainly generated from providing auto eInsurance service, technology service and auto service.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recognizes revenue pursuant to Revenue from Contracts with Customers (“ASC 606”). In accordance with ASC 606, revenues from contracts with customers are recognized when control of the promised goods or services is transferred to the Group’s customers, in an amount that reflects the consideration the Group expects to be entitled to in exchange for those goods or services, reduced by Value Added Tax (“VAT”). To achieve the core principle of this standard, we applied the following five steps:</w:t>
      </w:r>
    </w:p>
    <w:p>
      <w:pPr>
        <w:spacing w:after="0" w:line="180"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revenue when, or as, a performance obligation is satisfied.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 eInsurance Service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provides insurance intermediation services by distributing primarily vehicle insurance on behalf of insurance companies and charges them commissions based on a percentage of premiums paid by the insured. In accordance with ASC 606-10-25-14 and 25-19, the Group identifies the insurance intermediation service as a single performance obligation. The Group has determined that this service is distinct as: (i) the insurance companies (the customers) can benefit from the distribution service on its own through the successful execution of insurance policies and the resulting premium inflows; and (ii) the Group’s promise to transfer the intermediation service is separately identifiable from other promises in the contract. The service does not involve a significant integration service, nor does it significantly modify or customize the insurance products, and it is not highly interdependent with other services provided by the Group.</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at a point in time when an insurance policy becomes effective, which occurs when the signed insurance policy is in place and the premium is collected from the insured. Although the Group’s efforts are performed when the policy is sold, the criteria for contract identification under ASC 606-10-25-19 are only satisfied when the premium is received. Prior to this point, the collectability of the commission is not considered probable. Accordingly, the Group does not accrue any commission revenue prior to reperceiving related premiums. No allowance for cancellation is provided as historical cancellations have been rare and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versus Agent Assessment: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ASC 606-10-55-37A and 55-39, the Group has determined that it acts as an agent in these transactions. The Group does not control the insurance policy before it is transferred to the insured. Specifically: (i) the insurance companies, not the Group, are primarily responsible for fulfilling the insurance coverage to the insured; (ii) the Group does not bear any inventory risk related to the insurance policies ; and (iii) the Group has no discretion in establishing the insurance premiums, which are set by the insurance companies. Therefore, revenue is recognized on a net basis in the amount of commission to which the Group is entitled.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 Revenue recognition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service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provides technology service including technical software and consulting related to automobile services and insurance, such as customer relationship management (CRM), order management, finance management and visual analysis systems.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ASC 606-10-25-14 and 25-19, the Group identifies the technology service as a single performance obligation. Although the service includes both software access and technical consulting/support, the Group has determined that these components are not separately identifiable within the context of the contract. The software and consulting services are highly interrelated and interdependent, as the software is a self-developed proprietary system that requires the Group's ongoing integration, data maintenance, and technical updates to remain functional and relevant to the customer's specific automobile and insurance service needs. Therefore, the software and related consulting are treated as a combined output delivered over the service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satisfies its performance obligation over time during the service period because the customer simultaneously receives and consumes the benefits as the Group provides the access and support. Revenue is recognized on a straight-line basis over the contractual term, typically charged at a fixed price per month. The transaction price is allocated entirely to this single combined performance obligation. The Group does not have significant variable considerations, and the payment terms generally require monthly settlement, which does not involve a significant financing component.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versus Agent Assessment: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606-10-55-37A and 55-39, the Group has determined it acts as the principal in these transactions. The Group controls the technical software and consulting services before they are transferred to the customer. This is evidenced by the fact that: (i) the Group is primarily responsible for fulfilling the promise to provide the integrated system and ensure its functionality; (ii) the Group owns the intellectual property of the software and bears the risk of service delivery; and (iii) the Group has full discretion in establishing the price for the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 service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Group defines enterprise customers as the Group’s customers and the Group sells auto service coupons to enterprise customers, which each coupon represents one specific auto service. There are various service types including vehicle washing, waxing, maintenance, driving service and road assistance, and the Group only provides one specific service among various service types for each specific service coupon. The Group identifies each specific service coupon as a contract that establishes enforceable rights and obligations for each party. The Group charges the service fee at a fixed price per service when the service is performed. For service coupons with limited duration, the Group either charges the service fee at a fixed price per service when the service is performed or when the coupon expires, whether or not the service has been performed. The Group considers each service coupon is a distinct service that is capable of providing a benefit to the customer on its own according to ASC 606-10-25-14(a). Therefore, the Group identifies only one performance obligation under a contract, which is to provide a specific service or to stand-ready to perform a specific service within a limited duration. The Group acts as a principal as the Group controls the right to services before the services are provided to customers and the Group has the ability to direct other parties to provide the services to customers on the Group’s behalf. Specifically, the Group has the ability to choose service providers, is primarily responsible for the acceptability for the service meeting customer specifications, bears inventory risk after transfer of control of services to customers, and has the discretion in establishing the price with customers and with service providers and bears credit risk. The Group recognizes revenue in the gross amount of consideration at a point of time when the service is provided, or when the service coupon expires. The Group does not provide refunds to customers when a coupon has expired but not used.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 Continued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 Revenue recognition - Continued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Group’s revenues are disaggregated by timing of revenue recognition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of time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53,619</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363,746</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441,897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489,291</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Accounts receivable represent revenue recognized for the amounts invoiced and/or prior to invoicing when the Group has satisfied its performance obligation and has an unconditional right to the payment. Contract assets represent the Group’s right to consideration in exchange for goods or services that the Group has transferred to a customer. The Group has no contract assets as of December 31, 2024 and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 services in advance of revenue recognition and is recognized as revenue the performance obligation is satisfied. The opening balance were $3,050 and $2,421 at the beginning of 2024 and 2025. The Group’s contract liabilities amounted to $2,421 and $5,730 as of December 31, 2024 and 2025, respectively. During the years ended December 31, 2023, 2024 and 2025, the Group recognized $3,569, $3,050 and $2,298 that was included in deferred revenue balance at January 1, 2023, 2024 and 2025, respectively. The year-over-year decrease in revenue recognized from opening deferred revenue was mainly attributable to fluctuations in the number and timing of pre-sale or prepaid projects entered into during the second half of the preceding year and the timing of satisfaction of the related performance obligations.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 Integrated service cost</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Integrated service cost primarily includes the service fee paid to suppliers undertaking and performing the automobile service to the users of customer, and outsourcing service fee paid to the third party for technological development. The service fee is determined based on the actual services rendered and recognized in the period incurred.</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  Promotional service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Promotional service expenses represent (i) promotional service fee to explore extensive networks of primarily auto eInsurance service; and (ii) service fees to promotion channels, including but not limited to offline after-sales networks, online platforms, and emerging new energy vehicle original equipment manufacturers (“NEV OEMs”) and service providers. These channels have their own users, who are potential business customers. Promotional service expenses are recognized in the period incurred.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 Research and development expense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payroll and employee benefit for research and development employees, rental expense, utilities and other related expenses related to design, develop and maintain technology service platform to support the Group’s internal and external business. Research and development expenses are expensed as incurred. Software development costs are recorded in “Research and development” as incurred as the costs qualifying for capitalization have been insignificant.</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 Government grants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grant is recognized when there is reasonable assurance that the Group will comply with the conditions attached to it and the grant will be received. Government grant for the purpose of giving immediate financial support to the Group with no future related costs or obligation is recognized in “other income” in the Group’s consolidated statements of comprehensive loss when the grant is received.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received government grants from the local PRC government authorities aggregately of $4,959, $542, and $809, respectively, among which the government grants related to achievement of annual income tax filling target and value-added tax deduction were $4,733, $515, and $795, respectively, and the awards to high-tech enterprises were $226, $27, and $14, respectively.</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 Share-based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that share-based payment transactions with employees and nonemployees, such as share options, be measured based on the grant-date fair value of the equity instrument issued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 Employee benefits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Group’s subsidiaries in PRC participate in a government mandated, multiemployer, defined contribution plan, pursuant to which certain retirement, medical, housing and other welfare benefits are provided to employees. PRC labor laws require the entities incorporated in the PRC to pay to the local labor bureau a monthly contribution calculated at a stated contribution rate on the monthly basic compensation of qualified employees. The Group has no further commitments beyond its monthly contribution.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(y). Leases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leases facilities in the PRC under non-cancellable operating leases expiring on different dates. On January 1, 2022, the Group adopted ASU No. 2016-02 (Topic 842) “Leases” using the optional transition method. Results and disclosure requirements for reporting periods beginning after January 1, 2022 are presented under Topic 842, while prior period amounts have not been adjusted and continue to be reported in accordance with our historical accounting under Topic 840. Under Topic 842, lessees are required to recognize assets and liabilities on the balance sheet for most leases. At inception of a contract, the Group assesses whether a contract is, or contains, a lease. A contract is or contains a lease if it conveys the right to control the use of an identified asset for a period of time in exchange of a consideration. To assess whether a contract is or contains a lease, the Group assesses whether the contract involves the use of an identified asset, whether it has the right to obtain substantially all the economic benefits from the use of the asset and whether it has the right to control the use of the asset.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main impact of the adoption of the standard is that assets and liabilities amounting to $972 and $939, respectively, were recognized beginning January 1, 2022 for leased office space with terms of more than 12 months. The Group accounts for short-term leases with terms less than 12 months in accordance with ASC 842-20-25-2 to recognize the lease payments in profit or loss on a straight-line basis over the lease term and variable lease payments in the period in which the obligation for those payments is incurred. The adoption of the standard did not have a significant impact on the Group’s consolidated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Right-of-use (“ROU”) assets represent the Group’s rights to use underlying assets for the lease term and lease liabilities represent the Group’s obligation to make lease payments arising from the lease. Operating lease ROU assets and lease liabilities are recognized at commencement date. Lease expense for lease payments is recognized on a straight-line basis over the lease term.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ROU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 All right-of-use assets are reviewed for impairment annually. There was no impairment for right-of-use lease assets for the years ended December 31, 2023, 2024 and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liabilities are initially measured at the present value of the outstanding lease payments at the commencement date, discounted using the discount rate for the leases. As most of the Group’s leases do not provide an implicit rate, the Group uses its incremental borrowing rate based on the information available at lease commencement date in determining the present value of lease payments. The Group’s lease terms may include options to extend or terminate the lease when it is reasonably certain that the Group will exercise that option.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liabilities are measured at amortized cost using the effective interest rate method. They are re-measured when there is a change in future lease payments, if there is a change in the estimate of the amount expected to be payable under a residual value guarantee, or if there is any change in the Group assessment of option purchases, contract extensions or termination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(z). Income taxes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in the opinion of management, it is more likely than not that some portion or all of the deferred tax assets will not be realized. The Group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Group has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 The Group’s operating subsidiaries in PRC are subject to examination by the relevant tax authorities. According to the PRC Tax Administration and Collection Law, the statute of limitations is three years if the underpayment of taxes is due to computational errors made by the taxpayer or the withholding agent. The statute of limitations is extended to five years under special circumstances, where the underpayment of taxes is more than RMB 100,000 ($14,358). In the case of transfer pricing issues, the statute of limitation is ten years. There is no statute of limitation in the case of tax evasion. Penalties and interest incurred related to underpayment of income tax are classified as income tax expense in the period incurred.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did not accrue any liability, interest or penalties related to uncertain tax positions in its provision for income taxes line of its consolidated statements of operations for the years ended December 31, 2023, 2024 and 2025, respectively. The Group does not expect that its assessment regarding unrecognized tax positions will materially change over the next 12 months.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(aa). Value added tax (“VAT”)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is subject to VAT and related surcharges on revenue generated from providing auto eInsurance service, technology service and auto service. The Group records revenue net of VAT. This VAT may be offset by qualified input VAT paid by the Group to suppliers. Net VAT balance between input VAT and output VAT is recorded in the line item of other current assets on the consolidated balance sheets.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(bb).  Foreign currency transactions and translations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Group’s principal country of operations is the PRC. The financial position and results of its operations are determined using RMB, the local currency, as the functional currency. The Group’s financial statements are reported using U.S. Dollars (“$”). The results of operations and the consolidated statements of cash flows denominated in foreign currency are translated at the average rate of exchange during the reporting period.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equity. Gains and losses from foreign currency transactions are included in the results of operations.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RMB against $ and other currencies may fluctuate and is affected by, among other things, changes in the PRC’s political and economic conditions. Any significant revaluation of RMB may materially affect the Group’s financial condition in terms of $ reporting. The following table outlines the currency exchange rates that were used in creating the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7.2993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6.9931</w:t>
            </w:r>
          </w:p>
        </w:tc>
        <w:tc>
          <w:tcPr>
            <w:tcW w:w="100" w:type="dxa"/>
            <w:vAlign w:val="bottom"/>
            <w:shd w:val="clear" w:color="auto" w:fill="CCEEFF"/>
          </w:tcPr>
          <w:p>
            <w:pPr>
              <w:spacing w:after="0"/>
              <w:rPr>
                <w:sz w:val="18"/>
                <w:szCs w:val="18"/>
                <w:color w:val="auto"/>
              </w:rPr>
            </w:pPr>
          </w:p>
        </w:tc>
      </w:tr>
      <w:tr>
        <w:trPr>
          <w:trHeight w:val="452"/>
        </w:trPr>
        <w:tc>
          <w:tcPr>
            <w:tcW w:w="7320" w:type="dxa"/>
            <w:vAlign w:val="bottom"/>
          </w:tcPr>
          <w:p>
            <w:pPr>
              <w:spacing w:after="0"/>
              <w:rPr>
                <w:sz w:val="24"/>
                <w:szCs w:val="24"/>
                <w:color w:val="auto"/>
              </w:rPr>
            </w:pPr>
          </w:p>
        </w:tc>
        <w:tc>
          <w:tcPr>
            <w:tcW w:w="39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184"/>
        </w:trPr>
        <w:tc>
          <w:tcPr>
            <w:tcW w:w="73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Items in the statements of operations and comprehensive (loss)/income, and statements of cash</w:t>
            </w: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flows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7.0809</w:t>
            </w:r>
          </w:p>
        </w:tc>
        <w:tc>
          <w:tcPr>
            <w:tcW w:w="13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7.1957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7.1875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representation is made that the RMB amounts could have been, or could be, converted into U.S. dollars at the rates used in translation.</w:t>
      </w:r>
    </w:p>
    <w:p>
      <w:pPr>
        <w:spacing w:after="0" w:line="248" w:lineRule="exact"/>
        <w:rPr>
          <w:sz w:val="20"/>
          <w:szCs w:val="20"/>
          <w:color w:val="auto"/>
        </w:rPr>
      </w:pPr>
    </w:p>
    <w:p>
      <w:pPr>
        <w:ind w:left="40"/>
        <w:spacing w:after="0"/>
        <w:tabs>
          <w:tab w:leader="none" w:pos="500" w:val="left"/>
        </w:tabs>
        <w:rPr>
          <w:sz w:val="20"/>
          <w:szCs w:val="20"/>
          <w:color w:val="auto"/>
        </w:rPr>
      </w:pPr>
      <w:r>
        <w:rPr>
          <w:rFonts w:ascii="Times New Roman" w:cs="Times New Roman" w:eastAsia="Times New Roman" w:hAnsi="Times New Roman"/>
          <w:sz w:val="18"/>
          <w:szCs w:val="18"/>
          <w:b w:val="1"/>
          <w:bCs w:val="1"/>
          <w:i w:val="1"/>
          <w:iCs w:val="1"/>
          <w:color w:val="auto"/>
        </w:rPr>
        <w:t>(cc).</w:t>
        <w:tab/>
        <w:t>Non-controlling interest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non-controlling interest in a subsidiary of the Company represents the portion of the equity (net assets) in the subsidiary not directly or indirectly attributable to the Company. Non-controlling interests are presented as a separate component of equity on the consolidated balance sheets and net loss and other comprehensive loss attributable to non-controlling shareholders are presented as a separate component on the consolidated statements of operations and comprehensive loss.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(dd).  Loss per share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computes loss per share in accordance with ASC 260, “Earnings per Share” (“ASC 260”). ASC 260 requires companies with complex capital structures to present basic and diluted loss per share. Basic loss per share is measured as net income attributable to ordinary shareholders divided by the weighted average common shares outstanding for the period. Diluted loss per share is similar to basic loss per shar but presents the dilutive effect on a per share basis of potential common shares (e.g., convertible securities, earn out shares, warrants and stock options) as if they had been converted at the beginning of the periods presented, or issuance date, if later. Potential common shares that have an anti-dilutive effect (i.e., those that increase income per share or decrease loss per share) are excluded from the calculation of diluted loss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anti-dilutive effect for the years ended December 31, 2023, 2024 and 2025.</w:t>
      </w:r>
    </w:p>
    <w:p>
      <w:pPr>
        <w:spacing w:after="0" w:line="248" w:lineRule="exact"/>
        <w:rPr>
          <w:sz w:val="20"/>
          <w:szCs w:val="20"/>
          <w:color w:val="auto"/>
        </w:rPr>
      </w:pPr>
    </w:p>
    <w:p>
      <w:pPr>
        <w:ind w:left="40"/>
        <w:spacing w:after="0"/>
        <w:tabs>
          <w:tab w:leader="none" w:pos="500" w:val="left"/>
        </w:tabs>
        <w:rPr>
          <w:sz w:val="20"/>
          <w:szCs w:val="20"/>
          <w:color w:val="auto"/>
        </w:rPr>
      </w:pPr>
      <w:r>
        <w:rPr>
          <w:rFonts w:ascii="Times New Roman" w:cs="Times New Roman" w:eastAsia="Times New Roman" w:hAnsi="Times New Roman"/>
          <w:sz w:val="18"/>
          <w:szCs w:val="18"/>
          <w:b w:val="1"/>
          <w:bCs w:val="1"/>
          <w:i w:val="1"/>
          <w:iCs w:val="1"/>
          <w:color w:val="auto"/>
        </w:rPr>
        <w:t>(ee).</w:t>
        <w:tab/>
        <w:t>Segment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determines its operating segments based on components that engage in business activities from which they may earn revenues and incur expenses, and for which discrete financial information is available. These segments are identified based on internal financial reports that are regularly reviewed by the Group’s chief operating decision maker (“CODM”) for purposes of allocating resources and assessing performance.</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Group applies the “management approach” in determining its reportable segments. The Group’s CODM, identified as the chief executive officer (the “CEO”), reviews both consolidated and segment-level financial information in making operating decisions and evaluating performance. Based on this framework, the Group has three reportable operating segments: (i) auto eInsurance business, (ii) technology services, and (iii) auto services. These segments are managed separately as they require different operational, technological, and marketing strategies. As substantially all of the Group’s long-lived assets are located in the PRC, no geographical segment information is presented.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79" w:lineRule="exact"/>
        <w:rPr>
          <w:sz w:val="20"/>
          <w:szCs w:val="20"/>
          <w:color w:val="auto"/>
        </w:rPr>
      </w:pPr>
    </w:p>
    <w:p>
      <w:pPr>
        <w:ind w:left="40"/>
        <w:spacing w:after="0"/>
        <w:tabs>
          <w:tab w:leader="none" w:pos="500" w:val="left"/>
        </w:tabs>
        <w:rPr>
          <w:sz w:val="20"/>
          <w:szCs w:val="20"/>
          <w:color w:val="auto"/>
        </w:rPr>
      </w:pPr>
      <w:r>
        <w:rPr>
          <w:rFonts w:ascii="Times New Roman" w:cs="Times New Roman" w:eastAsia="Times New Roman" w:hAnsi="Times New Roman"/>
          <w:sz w:val="18"/>
          <w:szCs w:val="18"/>
          <w:b w:val="1"/>
          <w:bCs w:val="1"/>
          <w:i w:val="1"/>
          <w:iCs w:val="1"/>
          <w:color w:val="auto"/>
        </w:rPr>
        <w:t>(ff).</w:t>
        <w:tab/>
        <w:t>Comprehensive loss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Comprehensive loss is defined to include all changes in equity of the Group during a period arising from transactions and other events and circumstances except those resulting from investments by shareholders and distributions to shareholders. For the years presented, the Group’s comprehensive loss includes net loss and other comprehensive loss, which mainly consists of the foreign currency translation adjustment that have been excluded from the determination of net loss.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(gg).  Recent accounting pronouncements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The Group is in the process of evaluating the impact of adopting this new guidance on its consolidated financial statement.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us for our annual reporting for fiscal 2028 and for interim period reporting beginning in fiscal 2029 on a prospective basis. Both early adoption and retrospective application are permitted. The Group is currently evaluating the impact that the adoption of these standards will have on its consolidated financial statements and disclosures.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2024-04, Debt–Debt with Conversion and Other Options (Subtopic 470-20): Induced Conversion of Convertible Debt Instruments (“ASU 2024–04”), which clarifies the requirements for determining whether certain settlements of convertible debt instruments should be accounted for as an induced conversion. ASU 2024-04 is effective for annual reporting periods beginning after December 15, 2025, and interim reporting periods within those annual reporting periods. Early adoption is permitted for all entities that have adopted the amendments in Update 2020-06. The Group is in the process of evaluating the impact of adopting this new guidance on its consolidated financial statement.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The amendments in ASU 2025-05 provide entities with a practical expedient to simplify the estimation of expected credit losses on current accounts receivable and current contract assets that arise from transactions accounted for under ASC 606, Revenue from Contracts with Customers (“ASC 606”) by allowing the assumption that current conditions as of the balance sheet date will not change during the remaining life of the asset. ASU 2025-05 is effective for the Group for its four annual reporting periods beginning after December 15, 2025, and interim reporting periods within those annual reporting periods, with early adoption permitted. The Group is currently evaluating the impact ASU 2025-05 will have on its consolidated financial statements.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which simplifies the accounting for internal-use software by eliminating the requirement to apply a staged approach to software development and introducing a principles-based capitalization model. Under the new guidance, capitalization of internal-use software costs begins when management authorizes and commits to funding the project and it is probable that the project will be completed and the software will be used as intended. The amendments also enhance disclosure requirements, including information about capitalized software costs, significant judgments applied in determining capitalization, and details of major software projects. The guidance is effective for annual periods beginning after December 15, 2027, with early adoption permitted. The Group is currently evaluating the impact of the adoption of this guidance on its consolidated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The amendments in this Update represent changes to clarify the Codification or correct unintended application of guidance and apply to all reporting entities within the scope of the affected accounting guidance. These amendments are effective for annual reporting periods beginning after December 15, 2026, and interim reporting periods within those annual reporting periods. Early adoption is permitted. The Group is currently evaluating the impact of the adoption of this guidance on its consolidated financial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financial condition, results of operations, cash flows or disclosures.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55"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5, 2025, the Group acquired 100% sole equity interest of Jiangxi Jiayi from a third party for a cash consideration of RMB1.7 million ($0.2 million). The primary purpose of the acquisition was to obtain the insurance brokerage license held by Jiangxi Jiayi, which enables the Group to further expand and scale its business of auto eInsurance service.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evaluated the transaction under ASC 805 and concluded that the acquisition represents an asset acquisition rather than a business combination, as substantially all of the fair value of the gross assets acquired is concentrated in the insurance brokerage license and the acquired entity did not have substantive operations, employees, or revenue-generating activities at the acquisition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consideration transferred for the acquisition was RMB1.7 million ($0.2 million), which was paid in cash. Since the transaction is accounted for as an asset acquisition, the purchase price was allocated to the identifiable assets acquired on a relatively fair value basis. Management determined that the fair value of the insurance license approximated the total purchase consideration, and therefore substantially all of the purchase price was allocated to the insurance brokerage license.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acquisition date fair values of the assets and liabilities acquired as of November 5, 2025 (in thousands). The purchase price allocation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 Insurance brokerage license*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 acquired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236</w:t>
            </w:r>
          </w:p>
        </w:tc>
        <w:tc>
          <w:tcPr>
            <w:tcW w:w="80" w:type="dxa"/>
            <w:vAlign w:val="bottom"/>
          </w:tcPr>
          <w:p>
            <w:pPr>
              <w:spacing w:after="0"/>
              <w:rPr>
                <w:sz w:val="24"/>
                <w:szCs w:val="24"/>
                <w:color w:val="auto"/>
              </w:rPr>
            </w:pPr>
          </w:p>
        </w:tc>
      </w:tr>
      <w:tr>
        <w:trPr>
          <w:trHeight w:val="270"/>
        </w:trPr>
        <w:tc>
          <w:tcPr>
            <w:tcW w:w="1002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r>
      <w:tr>
        <w:trPr>
          <w:trHeight w:val="26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consideration</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236</w:t>
            </w:r>
          </w:p>
        </w:tc>
        <w:tc>
          <w:tcPr>
            <w:tcW w:w="80" w:type="dxa"/>
            <w:vAlign w:val="bottom"/>
          </w:tcPr>
          <w:p>
            <w:pPr>
              <w:spacing w:after="0"/>
              <w:rPr>
                <w:sz w:val="22"/>
                <w:szCs w:val="22"/>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identifiable net assets acquired were nominal in nature, given that the Jiangxi Jiayi did not have substantive operations, employees, or material assets and liabilities at the acquisition date. As a result, no goodwill was recognized in connection with the acquisition, and substantially all of the purchase consideration was allocated to the insurance brokerage license.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CODM reviews financial information of operating segments based on internal management reports when making decisions about allocating resources and assessing the performance of the Group. As a result of the assessment made by CODM, the Group has four reportable segments for continuing operations, including auto eInsurance business, technology service and auto service business. The Group’s CODM evaluates performance based on the operating segment’s revenue and their operating results. The revenue and operating results by segments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Auto</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eInsurance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Auto service</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30,658</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 and expenses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(26,428)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(183,125)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(209,553)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and selling expenses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(114,356)</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(11,265)</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(133,082)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(7,989)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(22,462)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(1,919)</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(10,456)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(14,111)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(119,986)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(47,601)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(196,749)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(14,872)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(379,208)</w:t>
            </w:r>
          </w:p>
        </w:tc>
      </w:tr>
      <w:tr>
        <w:trPr>
          <w:trHeight w:val="257"/>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Total other income/(expenses), net </w:t>
            </w:r>
            <w:r>
              <w:rPr>
                <w:rFonts w:ascii="Times New Roman" w:cs="Times New Roman" w:eastAsia="Times New Roman" w:hAnsi="Times New Roman"/>
                <w:sz w:val="29"/>
                <w:szCs w:val="29"/>
                <w:b w:val="1"/>
                <w:bCs w:val="1"/>
                <w:color w:val="auto"/>
                <w:vertAlign w:val="superscript"/>
              </w:rPr>
              <w:t>(1)</w:t>
            </w:r>
          </w:p>
        </w:tc>
        <w:tc>
          <w:tcPr>
            <w:tcW w:w="1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3,155</w:t>
            </w: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(183)</w:t>
            </w:r>
          </w:p>
        </w:tc>
        <w:tc>
          <w:tcPr>
            <w:tcW w:w="2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(1,272)</w:t>
            </w:r>
          </w:p>
        </w:tc>
        <w:tc>
          <w:tcPr>
            <w:tcW w:w="2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(1,245)</w:t>
            </w:r>
          </w:p>
        </w:tc>
        <w:tc>
          <w:tcPr>
            <w:tcW w:w="2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income/(loss) before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(17,126)</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16,958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(16,117)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(15,007)</w:t>
            </w:r>
          </w:p>
        </w:tc>
      </w:tr>
      <w:tr>
        <w:trPr>
          <w:trHeight w:val="453"/>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Auto</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eInsurance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Auto service</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44,892</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 and expenses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(28,103)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(198,069)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(226,172)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and selling expenses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(166,450)</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(15,535)</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(186,849)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(32,551)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(46,995)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(1,420)</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(4,624)</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(33,020)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(40,244)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(172,257)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(46,341)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(216,091)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(65,571)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(500,260)</w:t>
            </w:r>
          </w:p>
        </w:tc>
      </w:tr>
      <w:tr>
        <w:trPr>
          <w:trHeight w:val="256"/>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Total other expenses, net </w:t>
            </w:r>
            <w:r>
              <w:rPr>
                <w:rFonts w:ascii="Times New Roman" w:cs="Times New Roman" w:eastAsia="Times New Roman" w:hAnsi="Times New Roman"/>
                <w:sz w:val="29"/>
                <w:szCs w:val="29"/>
                <w:b w:val="1"/>
                <w:bCs w:val="1"/>
                <w:color w:val="auto"/>
                <w:vertAlign w:val="superscript"/>
              </w:rPr>
              <w:t>(1)</w:t>
            </w: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(121)</w:t>
            </w: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(276)</w:t>
            </w:r>
          </w:p>
        </w:tc>
        <w:tc>
          <w:tcPr>
            <w:tcW w:w="2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(1,942)</w:t>
            </w:r>
          </w:p>
        </w:tc>
        <w:tc>
          <w:tcPr>
            <w:tcW w:w="2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(898)</w:t>
            </w:r>
          </w:p>
        </w:tc>
        <w:tc>
          <w:tcPr>
            <w:tcW w:w="28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(3,237)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(loss)/income before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(1,725)</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(66,469)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(61,600)</w:t>
            </w:r>
          </w:p>
        </w:tc>
      </w:tr>
      <w:tr>
        <w:trPr>
          <w:trHeight w:val="453"/>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Auto</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eInsurance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Auto service</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53,619</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223,104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 and expenses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(37,892)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(203,618)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(241,510)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and selling expenses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(200,008)</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(8,918)</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(6,950)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(215,945)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(18,990)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(3,034)</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(205,681)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(50,066)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(226,615)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(3,044)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(485,406)</w:t>
            </w:r>
          </w:p>
        </w:tc>
      </w:tr>
      <w:tr>
        <w:trPr>
          <w:trHeight w:val="256"/>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Total other expenses, net </w:t>
            </w:r>
            <w:r>
              <w:rPr>
                <w:rFonts w:ascii="Times New Roman" w:cs="Times New Roman" w:eastAsia="Times New Roman" w:hAnsi="Times New Roman"/>
                <w:sz w:val="29"/>
                <w:szCs w:val="29"/>
                <w:b w:val="1"/>
                <w:bCs w:val="1"/>
                <w:color w:val="auto"/>
                <w:vertAlign w:val="superscript"/>
              </w:rPr>
              <w:t>(1)</w:t>
            </w: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(456)</w:t>
            </w: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(337)</w:t>
            </w:r>
          </w:p>
        </w:tc>
        <w:tc>
          <w:tcPr>
            <w:tcW w:w="2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(2,384)</w:t>
            </w:r>
          </w:p>
        </w:tc>
        <w:tc>
          <w:tcPr>
            <w:tcW w:w="2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(2,761)</w:t>
            </w:r>
          </w:p>
        </w:tc>
        <w:tc>
          <w:tcPr>
            <w:tcW w:w="28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(5,938)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income/(loss) before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6,431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3,216</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(5,805)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(2,053)</w:t>
            </w:r>
          </w:p>
        </w:tc>
      </w:tr>
    </w:tbl>
    <w:p>
      <w:pPr>
        <w:spacing w:after="0" w:line="225" w:lineRule="exact"/>
        <w:rPr>
          <w:sz w:val="20"/>
          <w:szCs w:val="20"/>
          <w:color w:val="auto"/>
        </w:rPr>
      </w:pPr>
    </w:p>
    <w:p>
      <w:pPr>
        <w:ind w:right="3080" w:firstLine="35"/>
        <w:spacing w:after="0" w:line="522" w:lineRule="auto"/>
        <w:tabs>
          <w:tab w:leader="none" w:pos="3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net of financial expenses, investment income, change of fair value of warrant liabilities and others. The total assets by segments as of December 31, 2024 and 2025 were as follows:</w:t>
      </w:r>
    </w:p>
    <w:tbl>
      <w:tblPr>
        <w:tblLayout w:type="fixed"/>
        <w:tblInd w:w="0" w:type="dxa"/>
        <w:tblCellMar>
          <w:top w:w="0" w:type="dxa"/>
          <w:left w:w="0" w:type="dxa"/>
          <w:bottom w:w="0" w:type="dxa"/>
          <w:right w:w="0" w:type="dxa"/>
        </w:tblCellMar>
      </w:tblPr>
      <w:tr>
        <w:trPr>
          <w:trHeight w:val="245"/>
        </w:trPr>
        <w:tc>
          <w:tcPr>
            <w:tcW w:w="360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eInsurance service</w:t>
            </w:r>
          </w:p>
        </w:tc>
        <w:tc>
          <w:tcPr>
            <w:tcW w:w="5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62,550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w:t>
            </w:r>
          </w:p>
        </w:tc>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35,906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service</w:t>
            </w:r>
          </w:p>
        </w:tc>
        <w:tc>
          <w:tcPr>
            <w:tcW w:w="5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148,630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151,165</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7"/>
        </w:trPr>
        <w:tc>
          <w:tcPr>
            <w:tcW w:w="3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5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vMerge w:val="continue"/>
            <w:shd w:val="clear" w:color="auto" w:fill="CCEEFF"/>
          </w:tcPr>
          <w:p>
            <w:pPr>
              <w:spacing w:after="0"/>
              <w:rPr>
                <w:sz w:val="21"/>
                <w:szCs w:val="21"/>
                <w:color w:val="auto"/>
              </w:rPr>
            </w:pPr>
          </w:p>
        </w:tc>
        <w:tc>
          <w:tcPr>
            <w:tcW w:w="5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246,728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253,196</w:t>
            </w:r>
          </w:p>
        </w:tc>
        <w:tc>
          <w:tcPr>
            <w:tcW w:w="0" w:type="dxa"/>
            <w:vAlign w:val="bottom"/>
          </w:tcPr>
          <w:p>
            <w:pPr>
              <w:spacing w:after="0"/>
              <w:rPr>
                <w:sz w:val="1"/>
                <w:szCs w:val="1"/>
                <w:color w:val="auto"/>
              </w:rPr>
            </w:pPr>
          </w:p>
        </w:tc>
      </w:tr>
      <w:tr>
        <w:trPr>
          <w:trHeight w:val="21"/>
        </w:trPr>
        <w:tc>
          <w:tcPr>
            <w:tcW w:w="360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2"/>
          </w:tcPr>
          <w:p>
            <w:pPr>
              <w:jc w:val="right"/>
              <w:ind w:right="3120"/>
              <w:spacing w:after="0"/>
              <w:rPr>
                <w:sz w:val="20"/>
                <w:szCs w:val="20"/>
                <w:color w:val="auto"/>
              </w:rPr>
            </w:pPr>
            <w:r>
              <w:rPr>
                <w:rFonts w:ascii="Times New Roman" w:cs="Times New Roman" w:eastAsia="Times New Roman" w:hAnsi="Times New Roman"/>
                <w:sz w:val="18"/>
                <w:szCs w:val="18"/>
                <w:color w:val="auto"/>
              </w:rPr>
              <w:t>F-24</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5"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5.  ACCOUNTS RECEIVABLE,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(21,862)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(26,617)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75,605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59,767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reversed credit losses of $4,112 for the year ended December 31, 2023, recognized credit losses of $1,314 for the year ended December 31, 2024, and recognized credit losses of $3,695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2026, approximately 58.1% of the accounts receivable balance outstanding as of December 31, 2025 had been subsequently collected.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 of allowance for credit losses for the years ended December 31, 2023, 2024 and 2025 were as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21,862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21,144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21" w:lineRule="exact"/>
        <w:rPr>
          <w:sz w:val="20"/>
          <w:szCs w:val="20"/>
          <w:color w:val="auto"/>
        </w:rPr>
      </w:pPr>
    </w:p>
    <w:p>
      <w:pPr>
        <w:ind w:left="380" w:hanging="345"/>
        <w:spacing w:after="0"/>
        <w:tabs>
          <w:tab w:leader="none" w:pos="3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 NET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 net consisted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Value-added tax (“VAT”) receivables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5,268</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Third-party payment platform receivable </w:t>
            </w:r>
            <w:r>
              <w:rPr>
                <w:rFonts w:ascii="Times New Roman" w:cs="Times New Roman" w:eastAsia="Times New Roman" w:hAnsi="Times New Roman"/>
                <w:sz w:val="29"/>
                <w:szCs w:val="29"/>
                <w:color w:val="auto"/>
                <w:vertAlign w:val="superscript"/>
              </w:rPr>
              <w:t>(i)</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Receivables from third parties </w:t>
            </w:r>
            <w:r>
              <w:rPr>
                <w:rFonts w:ascii="Times New Roman" w:cs="Times New Roman" w:eastAsia="Times New Roman" w:hAnsi="Times New Roman"/>
                <w:sz w:val="29"/>
                <w:szCs w:val="29"/>
                <w:color w:val="auto"/>
                <w:vertAlign w:val="superscript"/>
              </w:rPr>
              <w:t>(ii)</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Prepaid financing expense </w:t>
            </w:r>
            <w:r>
              <w:rPr>
                <w:rFonts w:ascii="Times New Roman" w:cs="Times New Roman" w:eastAsia="Times New Roman" w:hAnsi="Times New Roman"/>
                <w:sz w:val="29"/>
                <w:szCs w:val="29"/>
                <w:color w:val="auto"/>
                <w:vertAlign w:val="superscript"/>
              </w:rPr>
              <w:t>(iii)</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70,301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74,072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80" w:right="20" w:hanging="345"/>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payment platform receivable represents customer payments collected through online payment platform that have not yet been remitted to the group’s bank accounts as of December 31, 2025.</w:t>
      </w:r>
    </w:p>
    <w:p>
      <w:pPr>
        <w:spacing w:after="0" w:line="215"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represented advance to the employees for the group’s daily operation.</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represented prepaid financing expense related to issuance of GEM Warrants (See Note 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 NET – Continued</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Group assessed the collectability of prepayments and other current assets and did not record credit losses for the years ended December 31, 2023, 2024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 of allowance for credit losses for the years ended December 31, 2023, 2024 and 2025 were as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10"/>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32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2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46"/>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7.  PROPERTY, SOFTWARE AND EQUIPMENT, NET</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software and equipment, net, consisted of the following:</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7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Computer software </w:t>
            </w:r>
            <w:r>
              <w:rPr>
                <w:rFonts w:ascii="Times New Roman" w:cs="Times New Roman" w:eastAsia="Times New Roman" w:hAnsi="Times New Roman"/>
                <w:sz w:val="29"/>
                <w:szCs w:val="29"/>
                <w:color w:val="auto"/>
                <w:vertAlign w:val="superscript"/>
              </w:rPr>
              <w:t>(i)</w:t>
            </w: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31,534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32,812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13,209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14,061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8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(18,805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(24,556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Software and equipment, net</w:t>
            </w: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27,664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24,195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a hybrid cloud platform developed with the assistance of a third-party cloud service provider was partially substantially ready for use and transferred from other non-current assets, and certain components of the platform have not yet reached feasibility and remain under development as of December 31, 2025. Cost of hybrid cloud platform represents the purchase price of the platform and other expenditures incurred to bring the platform into its intended use. The application of the hybrid cloud platform was to improve the IT development capability for internal-used software platforms which provide auto eInsurance service and auto service to customers, and Software-As-A-Service (“SaaS”) products which are provided to business partners as technology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$4,114, $4,503 and $4,743 for the years ended December 31, 2023, 2024 and 2025,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2024 and 2025, the Group recorded no impairment loss of software and equipment.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8.  INTANGIBLE ASSET</w:t>
            </w:r>
          </w:p>
        </w:tc>
        <w:tc>
          <w:tcPr>
            <w:tcW w:w="4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consisted of the following:</w:t>
            </w:r>
          </w:p>
        </w:tc>
        <w:tc>
          <w:tcPr>
            <w:tcW w:w="4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4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brokerage license</w:t>
            </w:r>
          </w:p>
        </w:tc>
        <w:tc>
          <w:tcPr>
            <w:tcW w:w="53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64"/>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53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408</w:t>
            </w:r>
          </w:p>
        </w:tc>
      </w:tr>
      <w:tr>
        <w:trPr>
          <w:trHeight w:val="20"/>
        </w:trPr>
        <w:tc>
          <w:tcPr>
            <w:tcW w:w="4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2"/>
          </w:tcPr>
          <w:p>
            <w:pPr>
              <w:jc w:val="right"/>
              <w:ind w:right="3690"/>
              <w:spacing w:after="0"/>
              <w:rPr>
                <w:sz w:val="20"/>
                <w:szCs w:val="20"/>
                <w:color w:val="auto"/>
              </w:rPr>
            </w:pPr>
            <w:r>
              <w:rPr>
                <w:rFonts w:ascii="Times New Roman" w:cs="Times New Roman" w:eastAsia="Times New Roman" w:hAnsi="Times New Roman"/>
                <w:sz w:val="18"/>
                <w:szCs w:val="18"/>
                <w:color w:val="auto"/>
              </w:rPr>
              <w:t>F-26</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9.  OTHER NON-CURRENT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cloud infrastructure </w:t>
            </w:r>
            <w:r>
              <w:rPr>
                <w:rFonts w:ascii="Times New Roman" w:cs="Times New Roman" w:eastAsia="Times New Roman" w:hAnsi="Times New Roman"/>
                <w:sz w:val="29"/>
                <w:szCs w:val="29"/>
                <w:color w:val="auto"/>
                <w:vertAlign w:val="superscript"/>
              </w:rPr>
              <w:t>(i)</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100" w:type="dxa"/>
            <w:vAlign w:val="bottom"/>
            <w:shd w:val="clear" w:color="auto" w:fill="CCEEFF"/>
          </w:tcPr>
          <w:p>
            <w:pPr>
              <w:spacing w:after="0"/>
              <w:rPr>
                <w:sz w:val="22"/>
                <w:szCs w:val="22"/>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Prepaid expense for cloud infrastructure support, net </w:t>
            </w:r>
            <w:r>
              <w:rPr>
                <w:rFonts w:ascii="Times New Roman" w:cs="Times New Roman" w:eastAsia="Times New Roman" w:hAnsi="Times New Roman"/>
                <w:sz w:val="29"/>
                <w:szCs w:val="29"/>
                <w:color w:val="auto"/>
                <w:vertAlign w:val="superscript"/>
              </w:rPr>
              <w:t>(ii)</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22"/>
                <w:szCs w:val="22"/>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Securities margin </w:t>
            </w:r>
            <w:r>
              <w:rPr>
                <w:rFonts w:ascii="Times New Roman" w:cs="Times New Roman" w:eastAsia="Times New Roman" w:hAnsi="Times New Roman"/>
                <w:sz w:val="29"/>
                <w:szCs w:val="29"/>
                <w:color w:val="auto"/>
                <w:vertAlign w:val="superscript"/>
              </w:rPr>
              <w:t>(iii)</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shd w:val="clear" w:color="auto" w:fill="CCEEFF"/>
          </w:tcPr>
          <w:p>
            <w:pPr>
              <w:spacing w:after="0"/>
              <w:rPr>
                <w:sz w:val="22"/>
                <w:szCs w:val="22"/>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Artificial intelligence platform under construction </w:t>
            </w:r>
            <w:r>
              <w:rPr>
                <w:rFonts w:ascii="Times New Roman" w:cs="Times New Roman" w:eastAsia="Times New Roman" w:hAnsi="Times New Roman"/>
                <w:sz w:val="29"/>
                <w:szCs w:val="29"/>
                <w:color w:val="auto"/>
                <w:vertAlign w:val="superscript"/>
              </w:rPr>
              <w:t>(iv)</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22"/>
                <w:szCs w:val="22"/>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Advance to employees </w:t>
            </w:r>
            <w:r>
              <w:rPr>
                <w:rFonts w:ascii="Times New Roman" w:cs="Times New Roman" w:eastAsia="Times New Roman" w:hAnsi="Times New Roman"/>
                <w:sz w:val="29"/>
                <w:szCs w:val="29"/>
                <w:color w:val="auto"/>
                <w:vertAlign w:val="superscript"/>
              </w:rPr>
              <w:t>(v)</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22"/>
                <w:szCs w:val="22"/>
                <w:color w:val="auto"/>
              </w:rPr>
            </w:pPr>
          </w:p>
        </w:tc>
      </w:tr>
      <w:tr>
        <w:trPr>
          <w:trHeight w:val="26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11,458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30,821</w:t>
            </w:r>
          </w:p>
        </w:tc>
        <w:tc>
          <w:tcPr>
            <w:tcW w:w="10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hanging="392"/>
        <w:spacing w:after="0" w:line="282" w:lineRule="auto"/>
        <w:tabs>
          <w:tab w:leader="none" w:pos="4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assets primarily consisted of other cloud infrastructure under construction, which was not available for use as of December 31, 2025 and expected to be completed by the end of 2026.</w:t>
      </w:r>
    </w:p>
    <w:p>
      <w:pPr>
        <w:spacing w:after="0" w:line="161" w:lineRule="exact"/>
        <w:rPr>
          <w:rFonts w:ascii="Times New Roman" w:cs="Times New Roman" w:eastAsia="Times New Roman" w:hAnsi="Times New Roman"/>
          <w:sz w:val="18"/>
          <w:szCs w:val="18"/>
          <w:color w:val="auto"/>
        </w:rPr>
      </w:pPr>
    </w:p>
    <w:p>
      <w:pPr>
        <w:jc w:val="both"/>
        <w:ind w:left="400" w:right="20" w:hanging="392"/>
        <w:spacing w:after="0" w:line="266" w:lineRule="auto"/>
        <w:tabs>
          <w:tab w:leader="none" w:pos="4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the Group paid RMB41.2 million (approximately $5.7 million) for cloud infrastructure support, which would be amortized over 3 years based on the service agreements. For the years ended December 31, 2024 and 2025, amortization expense was nil and $1,352.</w:t>
      </w:r>
    </w:p>
    <w:p>
      <w:pPr>
        <w:spacing w:after="0" w:line="175" w:lineRule="exact"/>
        <w:rPr>
          <w:rFonts w:ascii="Times New Roman" w:cs="Times New Roman" w:eastAsia="Times New Roman" w:hAnsi="Times New Roman"/>
          <w:sz w:val="18"/>
          <w:szCs w:val="18"/>
          <w:color w:val="auto"/>
        </w:rPr>
      </w:pPr>
    </w:p>
    <w:p>
      <w:pPr>
        <w:jc w:val="both"/>
        <w:ind w:left="400" w:hanging="392"/>
        <w:spacing w:after="0" w:line="256" w:lineRule="auto"/>
        <w:tabs>
          <w:tab w:leader="none" w:pos="4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21, 2025, May 15, 2025, and August 12, 2025, Shanghai Cuhong Auto Services Co., Ltd. (“Shanghai Cuhong”), a subsidiary of the Company, provided cash collateral of RMB14.6 million (approximately $2.1 million), RMB7.2 million (approximately $1.0 million) and RMB7.2 million (approximately $1.0 million), respectively, to Beijing Youhu Business Services Co., Ltd. (“Youhu”) under a guarantee agreement. The collateral was intended to secure margin loan obligations of Lu Ruixia, Yang Shuaiqi, Yang Dan and Guo Qingbao with Youhu’s related entities, Tiger Brokers (NZ) Limited and Tiger Brokers (HK) Global Limited. The amount is refundable only when such third parties have fully satisfied and complied with any additional margin requirements.</w:t>
      </w:r>
    </w:p>
    <w:p>
      <w:pPr>
        <w:spacing w:after="0" w:line="187" w:lineRule="exact"/>
        <w:rPr>
          <w:rFonts w:ascii="Times New Roman" w:cs="Times New Roman" w:eastAsia="Times New Roman" w:hAnsi="Times New Roman"/>
          <w:sz w:val="18"/>
          <w:szCs w:val="18"/>
          <w:color w:val="auto"/>
        </w:rPr>
      </w:pPr>
    </w:p>
    <w:p>
      <w:pPr>
        <w:ind w:left="400" w:hanging="392"/>
        <w:spacing w:after="0" w:line="282" w:lineRule="auto"/>
        <w:tabs>
          <w:tab w:leader="none" w:pos="4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10, 2025, Shengda Automobile entered an agreement to purchase an artificial intelligence platform, which is expected to completed on April, 2027, with totaling price of RMB225 million. The Group has paid RMB15.3 million ($2.3 million) as of December 31, 2025.</w:t>
      </w:r>
    </w:p>
    <w:p>
      <w:pPr>
        <w:spacing w:after="0" w:line="16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represented advance to the employees for the group’s daily operation.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10.  BORROWINGS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1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Huaxia Bank Co., Ltd. Shanghai Branch(i)</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September to</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3.00%-3.45%</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Merchants Bank Shanghai Damuqiao 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Communications Shanghai Putuo Branch(i)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to February,2026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Bank Co., LTD. Shanghai Pudong 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3.50%-4.50%</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to December,2026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Minsheng Bank Co., LTD. Shanghai branch</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July,2026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Nanjing North Bund 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ICBC Shanghai Zhang Jiang high tech Park Branch(i)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December,2026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Xiamen International Bank Shanghai Jinqiao 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to June,2026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Ningbo Co., LTD. Shanghai Lianyang branch(i)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June,2026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Jiangsu Co., LTD. Songjiang 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198"/>
        </w:trPr>
        <w:tc>
          <w:tcPr>
            <w:tcW w:w="5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Agricultural Bank of China Co., LTD. Shanghai Xuhui branch(ii)</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November to</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2.80%-2.82%</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December,2026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CITIC Bank Shanghai Pudian Road 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2,831</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China Limited Shanghai Zhabei branch(i)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to July,2026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Construction Bank Shanghai Jing'an 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to June,2026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Nanjing North Bund Branch(ii)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3.50%-4.50%</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to October,2026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Rural Commercial Bank Co., Ltd. Huangpu 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to June,2026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Beijing Shanghai Branch(i)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September,2026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Minsheng Bank Co., LTD. Shanghai 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198"/>
        </w:trPr>
        <w:tc>
          <w:tcPr>
            <w:tcW w:w="5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Bank of Beijing Shanghai Branch(ii)</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February to</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3.00%-3.10%</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September,2026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Beijing Shanghai Branch</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198"/>
        </w:trPr>
        <w:tc>
          <w:tcPr>
            <w:tcW w:w="5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Bank of China Limited Shanghai Zhabei branch(ii)</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September to</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November,2026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Huangpu Branch of Bank of Shanghai(i)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Bank of China Co., LTD. Shanghai Minhang branch(ii)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November,2026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Guangfa Bank Co., LTD. Shanghai branch(ii)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February,2026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CITIC Bank Shanghai Pudian Road Branch</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to June,2026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198"/>
        </w:trPr>
        <w:tc>
          <w:tcPr>
            <w:tcW w:w="5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Huaxia Bank Shanghai Branch Sales Department</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September to October,</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Putuo Branch of Shanghai Pudong Development Bank(i)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Dalian Shanghai Jing'an Sub-branch(i)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Merchants Bank Shanghai Damuqiao Branch(ii)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short-term borrowings</w:t>
            </w: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2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83,597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80,394</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Long-term borrowing, current</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Wenzhou Bank Co., Ltd. Shanghai Putuo 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to August,2026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borrowing, non-current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Wenzhou Bank Co., Ltd. Shanghai Putuo Branch(i)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October,2028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1,358</w:t>
            </w:r>
          </w:p>
        </w:tc>
        <w:tc>
          <w:tcPr>
            <w:tcW w:w="0" w:type="dxa"/>
            <w:vAlign w:val="bottom"/>
          </w:tcPr>
          <w:p>
            <w:pPr>
              <w:spacing w:after="0"/>
              <w:rPr>
                <w:sz w:val="1"/>
                <w:szCs w:val="1"/>
                <w:color w:val="auto"/>
              </w:rPr>
            </w:pPr>
          </w:p>
        </w:tc>
      </w:tr>
      <w:tr>
        <w:trPr>
          <w:trHeight w:val="27"/>
        </w:trPr>
        <w:tc>
          <w:tcPr>
            <w:tcW w:w="5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borrowing</w:t>
            </w: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gridSpan w:val="2"/>
            <w:vMerge w:val="continue"/>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1,429</w:t>
            </w:r>
          </w:p>
        </w:tc>
        <w:tc>
          <w:tcPr>
            <w:tcW w:w="0" w:type="dxa"/>
            <w:vAlign w:val="bottom"/>
          </w:tcPr>
          <w:p>
            <w:pPr>
              <w:spacing w:after="0"/>
              <w:rPr>
                <w:sz w:val="1"/>
                <w:szCs w:val="1"/>
                <w:color w:val="auto"/>
              </w:rPr>
            </w:pPr>
          </w:p>
        </w:tc>
      </w:tr>
      <w:tr>
        <w:trPr>
          <w:trHeight w:val="21"/>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2025, the bank borrowings were for working capital and capital expenditure purposes borrowings consisted of the following:</w:t>
      </w:r>
    </w:p>
    <w:p>
      <w:pPr>
        <w:spacing w:after="0" w:line="252" w:lineRule="exact"/>
        <w:rPr>
          <w:sz w:val="20"/>
          <w:szCs w:val="20"/>
          <w:color w:val="auto"/>
        </w:rPr>
      </w:pPr>
    </w:p>
    <w:p>
      <w:pPr>
        <w:ind w:left="380" w:right="40" w:hanging="345"/>
        <w:spacing w:after="0" w:line="282"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2025, the bank borrowings of $54,019 and $64,105 were guaranteed by SunCar Online, one of subsidiaries of the Group.</w:t>
      </w:r>
    </w:p>
    <w:p>
      <w:pPr>
        <w:spacing w:after="0" w:line="215" w:lineRule="exact"/>
        <w:rPr>
          <w:rFonts w:ascii="Times New Roman" w:cs="Times New Roman" w:eastAsia="Times New Roman" w:hAnsi="Times New Roman"/>
          <w:sz w:val="18"/>
          <w:szCs w:val="18"/>
          <w:color w:val="auto"/>
        </w:rPr>
      </w:pPr>
    </w:p>
    <w:p>
      <w:pPr>
        <w:ind w:left="380" w:right="40" w:hanging="345"/>
        <w:spacing w:after="0" w:line="282"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2025, the bank borrowings of $9,165 and $10,725 were guaranteed by Shengda Automobile, one of subsidiaries of the Group.</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interest expenses were $3,666, $3,669 and $3,502 for the years ended December 31, 2023, 2024 and 2025, respectively. The weighted average interest rates of short-term loans outstanding were 4.45%, 4.10% and 3.78% per annum as of December 31, 2023, 2024 and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11.  ACCRUED EXPENSES AND OTHER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Deposits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taxes and other taxes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Contingent liabilities of GEM dispute </w:t>
            </w:r>
            <w:r>
              <w:rPr>
                <w:rFonts w:ascii="Times New Roman" w:cs="Times New Roman" w:eastAsia="Times New Roman" w:hAnsi="Times New Roman"/>
                <w:sz w:val="29"/>
                <w:szCs w:val="29"/>
                <w:color w:val="auto"/>
                <w:vertAlign w:val="superscript"/>
              </w:rPr>
              <w:t>(i)</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amount received for unvested restricted shares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9"/>
                <w:szCs w:val="29"/>
                <w:color w:val="auto"/>
                <w:vertAlign w:val="superscript"/>
              </w:rPr>
              <w:t>(ii)</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liabilities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80" w:right="20" w:hanging="345"/>
        <w:spacing w:after="0" w:line="253"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arbitration proceeding held in New York involving GEM Global Yield LLC SCS and GEM Yield Bahamas Limited (collectively “GEM”), which sought monetary damages against Auto Services Group Limited (“ASGL”) concerning an alleged breach of contractual obligations, the arbitration tribunal issued an award at the end of April 2025 (the “Award”). The Award requires ASGL to pay GEM $2.8 million plus simple interest at 9% per annum. GEM filed an application to convert the Award to a money judgment on May 9, 2025. On October 31, 2025, GEM presented a winding-up petition (the “Petition”) to the Grand Court of the Cayman Islands, requesting for the liquidation and winding up of the Company. On December 16, 2025, GEM and the Company agreed to the terms of a Consent Order for the adjournment of the Petition (the “Consent Order”). The Consent Order provides for the total payment of $3.1 million by the Company to GEM in two equal instalments on December 31, 2025 and January 31, 2026. The Cayman Court approved the adjournment of the Petition based on the Consent Order. The Company paid $1.5 million to GEM in December 2025. As of December 31, 2025, $1.6 million remained outstanding. The Company paid the remaining $1.6 million to GEM in January 2026.</w:t>
      </w:r>
    </w:p>
    <w:p>
      <w:pPr>
        <w:spacing w:after="0" w:line="248" w:lineRule="exact"/>
        <w:rPr>
          <w:rFonts w:ascii="Times New Roman" w:cs="Times New Roman" w:eastAsia="Times New Roman" w:hAnsi="Times New Roman"/>
          <w:sz w:val="18"/>
          <w:szCs w:val="18"/>
          <w:color w:val="auto"/>
        </w:rPr>
      </w:pPr>
    </w:p>
    <w:p>
      <w:pPr>
        <w:ind w:left="380" w:right="40" w:hanging="345"/>
        <w:spacing w:after="0" w:line="282"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primarily consist of accrued professional service fees, other deposits, premiums collected on behalf of customers for refunds, and other accrued expenses.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entered into operating lease agreements for certain offices, which are substantially located in PRC. The Group determines if an arrangement is a lease, or contains a lease, at inception and record the leases in the consolidated financial statements upon lease commencement, which is the date when the lessor makes the underlying asset available for use by the lessee.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for the operating leases where the Group is the lessee are presented as follows within the 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5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36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536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4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7"/>
        </w:trPr>
        <w:tc>
          <w:tcPr>
            <w:tcW w:w="4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5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vMerge w:val="continue"/>
            <w:shd w:val="clear" w:color="auto" w:fill="CCEEFF"/>
          </w:tcPr>
          <w:p>
            <w:pPr>
              <w:spacing w:after="0"/>
              <w:rPr>
                <w:sz w:val="21"/>
                <w:szCs w:val="21"/>
                <w:color w:val="auto"/>
              </w:rPr>
            </w:pPr>
          </w:p>
        </w:tc>
        <w:tc>
          <w:tcPr>
            <w:tcW w:w="536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jc w:val="right"/>
              <w:ind w:right="3590"/>
              <w:spacing w:after="0"/>
              <w:rPr>
                <w:sz w:val="20"/>
                <w:szCs w:val="20"/>
                <w:color w:val="auto"/>
              </w:rPr>
            </w:pPr>
            <w:r>
              <w:rPr>
                <w:rFonts w:ascii="Times New Roman" w:cs="Times New Roman" w:eastAsia="Times New Roman" w:hAnsi="Times New Roman"/>
                <w:sz w:val="18"/>
                <w:szCs w:val="18"/>
                <w:color w:val="auto"/>
              </w:rPr>
              <w:t>F-29</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LEASES – Continued</w:t>
      </w:r>
    </w:p>
    <w:p>
      <w:pPr>
        <w:sectPr>
          <w:pgSz w:w="11900" w:h="16838" w:orient="portrait"/>
          <w:cols w:equalWidth="0" w:num="1">
            <w:col w:w="11240"/>
          </w:cols>
          <w:pgMar w:left="320" w:top="873"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right-of-use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of operating lease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27"/>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2025, the short-term lease expenses amounted to $149 and $159,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where the Group is the lessee is as follows:</w:t>
      </w:r>
    </w:p>
    <w:p>
      <w:pPr>
        <w:spacing w:after="0" w:line="221"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98"/>
              </w:rPr>
              <w:t>3.51%</w:t>
            </w:r>
          </w:p>
        </w:tc>
        <w:tc>
          <w:tcPr>
            <w:tcW w:w="0" w:type="dxa"/>
            <w:vAlign w:val="bottom"/>
          </w:tcPr>
          <w:p>
            <w:pPr>
              <w:spacing w:after="0"/>
              <w:rPr>
                <w:sz w:val="1"/>
                <w:szCs w:val="1"/>
                <w:color w:val="auto"/>
              </w:rPr>
            </w:pPr>
          </w:p>
        </w:tc>
      </w:tr>
      <w:tr>
        <w:trPr>
          <w:trHeight w:val="414"/>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the following is a schedule of future minimum payments under the Group’s operating leases: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8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4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03"/>
        </w:trPr>
        <w:tc>
          <w:tcPr>
            <w:tcW w:w="9360" w:type="dxa"/>
            <w:vAlign w:val="bottom"/>
            <w:tcBorders>
              <w:top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2,272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7"/>
        </w:trPr>
        <w:tc>
          <w:tcPr>
            <w:tcW w:w="936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CCEEFF"/>
            </w:tcBorders>
            <w:gridSpan w:val="4"/>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F-30</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9360" w:type="dxa"/>
            <w:vAlign w:val="bottom"/>
            <w:tcBorders>
              <w:bottom w:val="single" w:sz="8" w:color="auto"/>
            </w:tcBorders>
            <w:gridSpan w:val="2"/>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WARRANTS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Warrant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4, 2022, Auto Services Group Limited entered into a Share Purchase Agreement (the “GEM Purchase Agreement”) with GEM Global Yield LLC SCS (“GEM Investor”) and GEM Yield Bahamas Limited (“GYBL”) relating to a share subscription facility. Pursuant to the GEM Purchase Agreement, Auto Services Group Limited has the right to sell to GEM Investor up to $125 million of its ordinary shares (the “GEM Shares”) for a 36-month period following a public listing of the Group’s ordinary shares (the “Investment Period”). GEM Investor would pay 90% of the average daily closing price during the pricing period, which is a 30-day period after SunCar turns a draw-down notice to GEM Investor.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connection with the execution of the GEM Purchase Agreement and as consideration for GEM Investor’s irrevocable commitment to purchase the GEM Shares, SunCar has agreed to make a warrant (the “GEM Warrants”) granting GYBL the right, during the Investment Period, to purchase the Group’s ordinary shares up to the equivalent of 3.3% of the total equity interests outstanding immediately after the completion of the Group’s public listing, calculated on a fully diluted basis. The exercise price of the GEM Warrant $11.50 per share in the case the Group consummates a merger transaction with GBRG and priced customarily in the absence of the consummation of such a merger. The GEM Warrant may be exercised only on cash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Business Combination was completed in May 2023, SunCar Technology Group Inc. registered the GEM Shares and GEM Warrants for the GEM Investor pursuant to GEM Purchase Agreement. As of December 31, 2025, the Company did not sell any ordinary shares to GEM Investor pursuant to GEM Purchase Agreement. The Company issued 2,839,951 GEM Warrants with the exercise price of $11.50 per share. Each GEM Warrant is entitled to purchase one Class A Ordinary Share. The GEM Warrants were exercisable from May 17, 2023, and shall expire on the date of the third anniversary of the public listing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GEM Warrant met the criteria for equity classification. Pursuant to GEM Purchase Agreement, the GEM Warrants were issued as consideration for GEM Investor’s irrevocable commitment to purchase the GEM Shares, and thus, the initial fair value of the warrants was recorded as prepaid financing expense, which was amortized within the Investment Period commencing from May 17, 2023 to May 17, 2026. The Group recognized financing expense of $607 and $606 for the years ended December 31, 2024 and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 and Private Warrant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has assumed 6,100,000 warrants outstanding, which consisted of: (i) 5,750,000 warrants (the “Public Warrants”) with each Public Warrant exercisable to purchase one-half (1/2) of one Class A Ordinary Share at a price of $11.50 per share, such Public Warrants originally issued in the initial public offering of Goldenbridge by holders, and (ii) 350,000 warrants (the “Private Warrants”) with each Private Warrant exercisable to purchase one-half (1/2) of one Class A Ordinary Share at a price of $11.50 per share, such Private Warrants originally issued in a private placement by Goldenbridge in connection with the initial public offering of GBRG by the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the Public Warrants are exercisable, the Company may redeem the Public Warrants in whole, and not in part, at a price of $0.01 per warrant:</w:t>
      </w:r>
    </w:p>
    <w:p>
      <w:pPr>
        <w:spacing w:after="0" w:line="225" w:lineRule="exact"/>
        <w:rPr>
          <w:sz w:val="20"/>
          <w:szCs w:val="20"/>
          <w:color w:val="auto"/>
        </w:rPr>
      </w:pPr>
    </w:p>
    <w:p>
      <w:pPr>
        <w:jc w:val="both"/>
        <w:ind w:left="340" w:right="2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sales price of the Class A Ordinary Shares equals or exceeds $16.50 per share (subject to adjustment for splits, dividends, recapitalizations and other similar events) for any 20 trading days within a 30-trading day period ending on the third business day prior to the date on which the Company send the notice of redemption to the warrant holders.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WARRANTS –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 and Private Warrant - Continued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 a notice of redemption, each Public Warrant holder can exercise his, her or its warrant prior to the scheduled redemption date. However, the price of ordinary shares may fall below the $16.50 trigger price as well as the $11.50 warrant exercise price per full share after the redemption notice is issued and not limit our ability to complete the redemption.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redemption criteria for the Public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the Company’s redemption call, the redemption will not cause the share price to drop below the exercise price of the warrants.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below, the Private Warrants have terms and provisions that are identical to the Public Warrants. The Private Warrants will be non-redeemable and may be exercised on a cashless basis, in each case so long as they continue to be held by the initial purchaser or their permitted transferees.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period of Public Warrants and Private Warrants commence on the later to occur of (i) the completion of the Company’s initial business combination and (ii) 12 months following the closing of the Public Offering of GBRG, and terminating on earlier to occur if (i) five years after the completion of the initial business combination (May 17, 2028) and (ii) the date fixed for redemption of the Warrants.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Public Warrants met the criteria for equity classification and are recorded as additional paid-in capital on the Consolidated Balance Sheet at the completion of the Business Combination. The Private Warrants contain exercise and settlement features that may change with a change in the holder, which precludes the Private Warrants from being indexed to the Company’s own stock. Therefore, the Private Warrants are recognized as warrant liabilities on Consolidated Balance Sheet at fair value, with subsequent changes in fair value recognized in the Consolidated Statement of Operations and Comprehensive (Loss) Income at each reporting date until exercised. For the years ended December 31, 2024 and 2025, the Group recognized change in fair value of the Private Warrants of $286 and $897,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issued in the Follow-on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Follow-on Offering (See Note 13), the Company agreed to issue to the Institutional Investors certain common warrants (“Common Warrants”) for the purchase of up to 3,850,857 Ordinary Shares at an exercise price of $9.00 per share. The Warrants are exercisable immediately after October 30, 2023, the date of issuance and will have a term of five years therefrom.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entered into Placement Agency Agreement dated October 26, 2023 (the “Placement Agency Agreement”) with FT Global Capital, Inc., to act as exclusive placement agent in connection with the Follow-on Offering (the “Placement Agent”). The Company agreed to pay the Placement Agent a cash fee equal to 7.5% of the gross proceeds raised in the Follow-on Offering. In addition, the Company agreed to issue to the Placement Agent warrants (“PA Warrants”) to purchase a number of Ordinary Shares equal to 1% of the aggregate number of Ordinary Shares sold in the Follow-on Offering, at an exercise price equal to $10.225 per share. The number of PA Warrants issued to FT Global Capital, Inc was 25,672.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Warrants and PA Warrants met the criteria for equity classification. The fair value of the Common Warrants and PA Warrants were of $17,739, valued based on the Black-Scholes-Merton model and is recorded as additional paid-in capital from common stock on the relative fair value of net proceeds received.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WARRANTS –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issued in the Follow-on Offering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summarizes the assumptions of the initial fair value of warrants under Black-Scholes-Merton model: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and</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GEM</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w:t>
            </w:r>
          </w:p>
        </w:tc>
      </w:tr>
      <w:tr>
        <w:trPr>
          <w:trHeight w:val="245"/>
        </w:trPr>
        <w:tc>
          <w:tcPr>
            <w:tcW w:w="5840" w:type="dxa"/>
            <w:vAlign w:val="bottom"/>
          </w:tcPr>
          <w:p>
            <w:pPr>
              <w:spacing w:after="0"/>
              <w:rPr>
                <w:sz w:val="21"/>
                <w:szCs w:val="21"/>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4"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(1)</w:t>
        <w:tab/>
        <w:t>Expected term (in years)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term (in years) of the warrants is extracted from warrant agreements.</w:t>
      </w:r>
    </w:p>
    <w:p>
      <w:pPr>
        <w:spacing w:after="0" w:line="250"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(2)</w:t>
      </w:r>
      <w:r>
        <w:rPr>
          <w:sz w:val="20"/>
          <w:szCs w:val="20"/>
          <w:color w:val="auto"/>
        </w:rPr>
        <w:tab/>
      </w:r>
      <w:r>
        <w:rPr>
          <w:rFonts w:ascii="Times New Roman" w:cs="Times New Roman" w:eastAsia="Times New Roman" w:hAnsi="Times New Roman"/>
          <w:sz w:val="17"/>
          <w:szCs w:val="17"/>
          <w:i w:val="1"/>
          <w:iCs w:val="1"/>
          <w:color w:val="auto"/>
        </w:rPr>
        <w:t>Volatility</w:t>
      </w:r>
    </w:p>
    <w:p>
      <w:pPr>
        <w:spacing w:after="0" w:line="25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volatility of the underlying ordinary shares during the lives of the warrants was estimated based on the historical stock price volatility of comparable listed companies over a period comparable to the expected term of the options.</w:t>
      </w:r>
    </w:p>
    <w:p>
      <w:pPr>
        <w:spacing w:after="0" w:line="187"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(3)</w:t>
      </w:r>
      <w:r>
        <w:rPr>
          <w:sz w:val="20"/>
          <w:szCs w:val="20"/>
          <w:color w:val="auto"/>
        </w:rPr>
        <w:tab/>
      </w:r>
      <w:r>
        <w:rPr>
          <w:rFonts w:ascii="Times New Roman" w:cs="Times New Roman" w:eastAsia="Times New Roman" w:hAnsi="Times New Roman"/>
          <w:sz w:val="17"/>
          <w:szCs w:val="17"/>
          <w:i w:val="1"/>
          <w:iCs w:val="1"/>
          <w:color w:val="auto"/>
        </w:rPr>
        <w:t>Risk-free interest rate</w:t>
      </w:r>
    </w:p>
    <w:p>
      <w:pPr>
        <w:spacing w:after="0" w:line="25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Risk-free interest rate was estimated based on the daily treasury long term rate of the U.S. Treasury Department with a maturity period close to the expected term of the warrants.</w:t>
      </w:r>
    </w:p>
    <w:p>
      <w:pPr>
        <w:spacing w:after="0" w:line="187"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(4)</w:t>
        <w:tab/>
        <w:t>Dividend yield</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dividend yield was estimated by the Group based on its expected dividend policy over the expected term of the warrants.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table summarizes the status of warrants outstanding and exercisable as of December 31, 2025: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as of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12,431,674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exercisable, as of December 31, 2024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12,431,674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Warrants outstanding, as of December 31, 2025</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12,431,674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exercisable, as of December 31, 2025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12,431,674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12,431,674 warrants outstanding to purchase 9,574,077 Class A Ordinary Shares with weighted average exercise price of $10.72 per share and remaining contractual lives of 2.06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19, 2023, the Company entered into a Share Subscription Agreement with a certain non-U.S. person, Anji Zerun Private Equity Investment Partnership (Limited Partnership) (“Anji”) pursuant to which the Company agreed to sell to Anji, and Anji agreed to purchase from the Company, in a private placement 2,173,657 Class A ordinary shares, par value $0.0001 per share, of the Company, at the total consideration of $21,736. The excess of par value per share of the consideration was accounted for as additional paid-in capital of $21,736.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Follow-on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26, 2023, the Company entered into certain securities purchase agreements with certain institutional investors (“Institutional Investors”) for a follow-on offering (the “Follow-on Offering”) of $21 million of Class A Ordinary Shares, par value $0.0001 per share (the “Ordinary Shares”) at a price of $8.18 per share (the “Purchase Price”). Pursuant to the Purchase Agreement, the Company issued a total of 2,567,238 Ordinary Shares to the Institutional Investors.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Repurchase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17, 2023, SunCar entered into share repurchase agreement with Goldenbridge. Pursuant to the agreement, Goldenbridge’s initial shareholders shall transfer certain ordinary shares to SunCar, depending on the cash retained by Goldenbridge upon the closing of the Business Combination. Since Goldenbridge retained no more than $30,000 in cash immediately after the closing, the Company repurchased 200,000 ordinary shares at a price of $10.00 per share as treasury stock, for an aggregate purchase price of $2,000.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ordinary shares, net of offering cost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5, 2025, the Group entered into an underwriting agreement with BTIG, LLC as the representative of the underwriters named therein, to issue and sell 7,142,858 Class A ordinary shares for total expected gross proceeds of approximately $50 million before underwriting discounts and commissions and offering expenses. The issuance was completed on February 7, 2025. The proceeds from issuance of ordinary shares, net of offering costs, amounted to approximately $41.6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Repurchase from public market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7, 2025, the Company announced that its board of directors has authorized a share repurchase program (the “Share Repurchase Program”) to buy back up to $30 million of its outstanding Class A ordinary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repurchase activity under the Share Repurchase Program from inception through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 per</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Class A</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share</w:t>
            </w: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Periods</w:t>
            </w: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February 2025: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1,644,809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2025: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April 2025: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2025: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r>
      <w:tr>
        <w:trPr>
          <w:trHeight w:val="250"/>
        </w:trPr>
        <w:tc>
          <w:tcPr>
            <w:tcW w:w="8680" w:type="dxa"/>
            <w:vAlign w:val="bottom"/>
            <w:tcBorders>
              <w:top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3,438,557</w:t>
            </w: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transfer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and 2025, 2,969,000 and 620,000 of Class B ordinary shares have been transferred to Class A ordinary shares,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NON-CONTROLLING INTERESTS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non-controlling interests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Suncar Online acquired 0.64% of equity interest of Shengda Automobile from non-controlling shareholders at the consideration of $3,151. After the repurchase, Suncar Online owned 84.52% of Shengda Automobile. The Group derecognized non-controlling interest of $1,852, and the difference between the purchase price and the carrying amount of the proportional net assets that repurchased from non-controlling shareholders was recorded in additional paid-in capital, which was $1,298.</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16.  SHARE-BASED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consideration for the Business Combination included earnout share to the management as follows (“Earnout Shares”):</w:t>
      </w:r>
    </w:p>
    <w:p>
      <w:pPr>
        <w:spacing w:after="0" w:line="252" w:lineRule="exact"/>
        <w:rPr>
          <w:sz w:val="20"/>
          <w:szCs w:val="20"/>
          <w:color w:val="auto"/>
        </w:rPr>
      </w:pPr>
    </w:p>
    <w:p>
      <w:pPr>
        <w:ind w:left="380" w:right="40" w:hanging="345"/>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 Class A Ordinary Shares if the Group’s revenue equals or exceeds $258,000 for the fiscal year ending December 31, 2022, as reflected on the audited consolidated financial statements of the Company as of and for the fiscal year ended December 31, 2022;</w:t>
      </w:r>
    </w:p>
    <w:p>
      <w:pPr>
        <w:spacing w:after="0" w:line="215" w:lineRule="exact"/>
        <w:rPr>
          <w:rFonts w:ascii="Times New Roman" w:cs="Times New Roman" w:eastAsia="Times New Roman" w:hAnsi="Times New Roman"/>
          <w:sz w:val="18"/>
          <w:szCs w:val="18"/>
          <w:color w:val="auto"/>
        </w:rPr>
      </w:pPr>
    </w:p>
    <w:p>
      <w:pPr>
        <w:ind w:left="380" w:right="40" w:hanging="345"/>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 Class A Ordinary Shares if the Group’s revenue equals or exceeds $352,000 for the fiscal year ending December 31, 2023, as reflected on the audited consolidated financial statements of the Company as of and for the fiscal year ended December 31, 2023; and</w:t>
      </w:r>
    </w:p>
    <w:p>
      <w:pPr>
        <w:spacing w:after="0" w:line="215" w:lineRule="exact"/>
        <w:rPr>
          <w:rFonts w:ascii="Times New Roman" w:cs="Times New Roman" w:eastAsia="Times New Roman" w:hAnsi="Times New Roman"/>
          <w:sz w:val="18"/>
          <w:szCs w:val="18"/>
          <w:color w:val="auto"/>
        </w:rPr>
      </w:pPr>
    </w:p>
    <w:p>
      <w:pPr>
        <w:ind w:left="380" w:right="40" w:hanging="345"/>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 Class A Ordinary Shares if the Group’s revenue equals or exceeds $459,000 for the fiscal year ending December 31, 2024, as reflected on the audited consolidated financial statements of the Company as of and for the fiscal year ended December 31,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16.  SHARE-BASED COMPENSATION – Continued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was completed on May 17, 2023. The Earnout Shares related to the performance condition in 2022, attributable to pre-combination vesting, is substantially part of the consideration in the exchange for the Company. The Earnout Shares related to business performance in 2023 and 2024 are accounted for as share-based compensation under ASC718, using the graded vesting method over the applicable vesting period based on the fair value of the Earnout Shares of $6.11 per share on the grant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the Group recognized nil share-based compensation expense related to Earnout Shares.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Equity Incentive Plan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28, 2024, the board of directors of the Company approved 2024 Equity Incentive Plan (the “2024 Plan”). Under the 2024 Plan, the maximum aggregate number of Class A ordinary shares that may be issued pursuant to the awards shall be 8,800,000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8,800,000 shares have been issued to employees. The shares were fully vested upon granted. The shares issued under 2024 Plan are accounted for as share-based compensation under ASC718 based on the fair value of the ordinary shares of $7.05 per share on the grant date. For the year ended December 31, 2024 and 2025, the Company recognized share-based compensation expenses of $62,040 and nil,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of a subsidiary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9, 2020, the shareholders of Shengda Automobile, a subsidiary of SunCar, approved and adopted the Share Incentive Plan (the “2020 Plan”), under which eligible employees were granted 2,500,000 of restricted ordinary shares of Shanghai Shengda to award eligible employees’ contribution of the expansion of Shengda Automobile, at the price of RMB4.2 per share (“Restricted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restricted ordinary shares are subject to an annual vesting schedule that vests 20% of granted restricted shares over the next five years as the employees are required to provide services for a total of 60 months to earn the award. The employees have made full subscription payment of $1,553 during the year ended December 31, 2020. Upon termination, the unvested restricted shares are forfeited and the prepaid subscription amount for the unvested portion shall be returned to the 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restricted ordinary shares were considered as nonvested shares under the definition of ASC 718-10-20. The fair value of the Shares at the grant date was RMB25.71 ($3.94) per share, which was determined based on the purchase price of the financial offering of the same securities with external institutional investors. The Group accounts for forfeitures as a reduction of stock-based compensation expense when the forfeiture actually occurs.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expenses related to those restricted shares on a straight-line basis over the vesting periods. $1,519, $1,495 and $998 of compensation expenses were recorded for the years ended December 31, 2023, 2024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Restricted Shares were fully vested.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2020 Plan was carried out in the way that eligible employees indirectly hold shares of Shanghai Shengda by holding shares of Jingning Shengjing Enterprise Management Partnership (Limited Partnership) (“Shareholding Platform”) as the general partner and limited partner of the Shareholding Platform.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17.  TAXATION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Group is not subject to tax on income or capital gain. Additionally, upon payments of dividends to the shareholders, no Cayman Islands withholding tax will be imposed.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Tax (Amendment) (No. 3) Ordinance 2018 published by Hong Kong government, form April 1, 2018, under the two-tiered profits tax rates regime, the profits tax rate for the first HKD2 million of assessable profits will be lowered to 8.25% (half of the rate specified in Schedule 8 to the Inland Revenue Ordinance (IRO)) for corporations. China Auto Market was not subject to Hong Kong profit tax for any period presented as it did not have assessable profit during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the Group’s subsidiaries, which are considered PRC resident enterprises under PRC tax law, are subject to enterprise income tax (“EIT”) on their worldwide taxable income as determined under PRC tax laws and accounting standards at a rate of 25%. EIT grants preferential tax treatment to High and New Technology Enterprises (“HNTEs”) at a rate of 15%, subject to a requirement that they re-apply for HNTE status every three years. The Group’s subsidiaries, Shengda Automobile and Shanghai Chengle Network Technology Co., Ltd. were approved as a HNTE and is entitled to a reduced income tax rate of 15% beginning November 2018 and renewing the HNTE in December 2021. The certificate is valid for three years.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Taxation [2022] No.13 which was effective from January 1, 2022 to December 31, 2024, a small-scale and low-profit enterprise receives a tax preference including a preferential tax rate of 5% on its taxable income between RMB1 million and RMB3 million. According to Taxation [2023] No.6 which was effective from January 1, 2023 to December 31, 2024, a small-scale and low-profit enterprise receives a tax preference including a preferential tax rate of 5% on its taxable income below RMB1 million. According to Taxation [2023] No.12 which was effective from January 1, 2025 to December 31, 2027, a small-scale and low-profit enterprise receives a tax preference including a preferential tax rate of 5% on its taxable income below RMB3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8"/>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1,618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7"/>
        </w:trPr>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vMerge w:val="continue"/>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2,853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F-37</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17.  TAXATION -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PRC, mainland statutory rate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(Loss)/income before 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Computed income tax (benefit)/expense with statutory tax rate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deduction for research and development expenses</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preferred tax rate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15,696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favorable tax rates on small-scale and low-profit entities</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tax relief</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non-deductible items</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expired tax attribute carryforwards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deferred tax effect of tax rate change</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2,572</w:t>
            </w:r>
          </w:p>
        </w:tc>
        <w:tc>
          <w:tcPr>
            <w:tcW w:w="2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December 31, 2024 and 2025, the significant components of the deferred tax assets are summarized below:</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difference in accounts receivable recognition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Temporary difference in research and development costs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3,679</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25,750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(13,840)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11,947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Changes in valuation allowance are as follows:</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Additions/(Reversals)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2025, the Group had net operating loss carryforwards from the Group’s subsidiaries in the PRC of approximately $48,347 and $49,376, respectively, and from the parent company and the Group’s non-PRC subsidiaries of approximately $82,600 and $87,396, respectively. As of December 31, 2024 and 2025, deferred tax assets from the net operating loss carryforwards amounted to $11,325 and $11,961, respectively. The Group has recorded valuation allowances of $13,840 and $13,803 as of December 31, 2024 and 2025, respectively. Full valuation allowances have been provided where, based on all available evidence, management determined that deferred tax assets are not more likely than not to be realizable in future tax years.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(In U.S. Dollar thousands, except share and per share data)</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17.  TAXATION - Continued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net operating loss carryforwards will expire, if unused, in the following amounts: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16,976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6,664</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6,805</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Indefinite</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87,396</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136,772</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18.  NET LOSS PER SHARE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basic and diluted net loss per share computation and provides a reconciliation of the numerator and denominator for the years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gridSpan w:val="8"/>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4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the Company’s ordinary shareholders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(26,912)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(68,663)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(3,942)</w:t>
            </w:r>
          </w:p>
        </w:tc>
      </w:tr>
      <w:tr>
        <w:trPr>
          <w:trHeight w:val="278"/>
        </w:trPr>
        <w:tc>
          <w:tcPr>
            <w:tcW w:w="732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net loss per share calculation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(26,912</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(3,942</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85,441,057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95,996,861</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102,081,873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Company’s ordinary shareholders per ordinary share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(0.04)</w:t>
            </w:r>
          </w:p>
        </w:tc>
      </w:tr>
      <w:tr>
        <w:trPr>
          <w:trHeight w:val="27"/>
        </w:trPr>
        <w:tc>
          <w:tcPr>
            <w:tcW w:w="7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warrants were anti-dilutive and thus excluded from the calculation of diluted loss per share. The potential dilutive securities that were not included in the calculation of dilutive loss per share in 2023, 2024 and 2025 are 1,600,000, 1,600,000 and 1,600,000,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Group as of December 31, 2024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related parties</w:t>
            </w:r>
          </w:p>
        </w:tc>
        <w:tc>
          <w:tcPr>
            <w:tcW w:w="22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Shengda Group</w:t>
            </w: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 entity ultimately controlled by Mr. Ye Zaichang, the Company’s Chief</w:t>
            </w:r>
          </w:p>
        </w:tc>
      </w:tr>
      <w:tr>
        <w:trPr>
          <w:trHeight w:val="234"/>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Mr. Lei Zhunfu</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Technology Officer and Chief Operating Officer of the Company</w:t>
            </w: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Balances with related parties</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Amount due to related parties, current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6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Other payables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Shengda Group</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Mr. Lei Zhunfu</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Amount due to a related party, non-current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Payables due to the transfer of SunCar Online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Shengda Group</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12,516</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80" w:hanging="345"/>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payables were for the ordinary course of operation, which were interest free, unsecure and could be settled on demand.</w:t>
      </w:r>
    </w:p>
    <w:p>
      <w:pPr>
        <w:spacing w:after="0" w:line="279" w:lineRule="exact"/>
        <w:rPr>
          <w:rFonts w:ascii="Times New Roman" w:cs="Times New Roman" w:eastAsia="Times New Roman" w:hAnsi="Times New Roman"/>
          <w:sz w:val="18"/>
          <w:szCs w:val="18"/>
          <w:color w:val="auto"/>
        </w:rPr>
      </w:pPr>
    </w:p>
    <w:p>
      <w:pPr>
        <w:jc w:val="both"/>
        <w:ind w:left="380" w:right="20" w:hanging="345"/>
        <w:spacing w:after="0" w:line="256"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 2021, Shengda Group transferred all of its equity interest, which was 55.09% as of the transfer date, of SunCar Online to Shanghai Feiyou, at price RMB4 per share, totaling RMB282 million. Upon completion of the transfer, Feiyou is liable to Shengda Group for RMB282 million on the transfer of SunCar Online. As a result of the disposal of Shengda Group, Shengda Group became the related party of the Group, and the balance due to Shengda Group was presented as amount due to a related party. On March 1, 2022, the Group entered into a share purchase agreement (the “SPA”) with an affiliate of Mr. Ye to transfer the total equity of Shengda Group with the consideration of RMB 1. Pursuant to the SPA, the Group agreed to repay the debt owed to Shengda Group by full before June 1, 2023.</w:t>
      </w:r>
    </w:p>
    <w:p>
      <w:pPr>
        <w:spacing w:after="0" w:line="187" w:lineRule="exact"/>
        <w:rPr>
          <w:rFonts w:ascii="Times New Roman" w:cs="Times New Roman" w:eastAsia="Times New Roman" w:hAnsi="Times New Roman"/>
          <w:sz w:val="18"/>
          <w:szCs w:val="18"/>
          <w:color w:val="auto"/>
        </w:rPr>
      </w:pPr>
    </w:p>
    <w:p>
      <w:pPr>
        <w:jc w:val="both"/>
        <w:ind w:left="3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the Group negotiated with Shengda Group and consented to have an extension of payment to extend the repayment date to December 31, 2025, with annual interest rate of 1% from June 1, 2023 to December 31, 2025. In January 2025, the Group negotiated with Shengda Group and consented to have an extension of payment to extend the repayment date to December 31, 2028. Therefore, the Group reclassified the balance to non-current portion after the extension.</w:t>
      </w:r>
    </w:p>
    <w:p>
      <w:pPr>
        <w:spacing w:after="0" w:line="179" w:lineRule="exact"/>
        <w:rPr>
          <w:rFonts w:ascii="Times New Roman" w:cs="Times New Roman" w:eastAsia="Times New Roman" w:hAnsi="Times New Roman"/>
          <w:sz w:val="18"/>
          <w:szCs w:val="18"/>
          <w:color w:val="auto"/>
        </w:rPr>
      </w:pPr>
    </w:p>
    <w:p>
      <w:pPr>
        <w:jc w:val="both"/>
        <w:ind w:left="38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the Group repaid the debt owed to Shengda Group through transfer of shares of SunCar Online at an aggregate amount of $6.2 million. The non-cash gains from the difference of repurchase price and transfer price of $4.5 million were charged to additional-paid-in capital since Shengda Group and the Group were under common control.</w:t>
      </w:r>
    </w:p>
    <w:p>
      <w:pPr>
        <w:spacing w:after="0" w:line="17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the Group repaid the debt owed to Shengda Group of $11.4 million.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  CONCENTRATION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credit losses. The Group conducts periodic reviews of the financial condition and payment practices of its customers to minimize collection risk on accounts receivable.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 who represent 10% or more of the Group’s total revenue.</w:t>
      </w:r>
    </w:p>
    <w:p>
      <w:pPr>
        <w:spacing w:after="0" w:line="23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20" w:type="dxa"/>
            <w:vAlign w:val="bottom"/>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0" w:type="dxa"/>
            <w:vAlign w:val="bottom"/>
            <w:tcBorders>
              <w:top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 who represent 10% or more of the Group’s total accounts receivable:</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7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7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8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G</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each supplier who represent 10% or more of the Group’s total purchase:</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7220" w:type="dxa"/>
            <w:vAlign w:val="bottom"/>
          </w:tcPr>
          <w:p>
            <w:pPr>
              <w:spacing w:after="0"/>
              <w:rPr>
                <w:sz w:val="24"/>
                <w:szCs w:val="24"/>
                <w:color w:val="auto"/>
              </w:rPr>
            </w:pPr>
          </w:p>
        </w:tc>
        <w:tc>
          <w:tcPr>
            <w:tcW w:w="3580" w:type="dxa"/>
            <w:vAlign w:val="bottom"/>
            <w:tcBorders>
              <w:bottom w:val="single" w:sz="8" w:color="auto"/>
            </w:tcBorders>
            <w:gridSpan w:val="7"/>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36"/>
        </w:trPr>
        <w:tc>
          <w:tcPr>
            <w:tcW w:w="7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the Group’s total purchase</w:t>
            </w: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A</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B</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6"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represent percentage less than 10%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21.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future minimum lease payments of property management fee and short-term lease under the non-cancellable operating lease with respect to the office as of December 31, 2025 are payable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45"/>
        </w:trPr>
        <w:tc>
          <w:tcPr>
            <w:tcW w:w="10020" w:type="dxa"/>
            <w:vAlign w:val="bottom"/>
          </w:tcPr>
          <w:p>
            <w:pPr>
              <w:spacing w:after="0"/>
              <w:rPr>
                <w:sz w:val="21"/>
                <w:szCs w:val="21"/>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Alta Partners, LLC (“Alta”) alleges that it holds certain public warrants of the Company and has asserted claims that the Company breached the related warrant agreement. In March 2025, the Court granted the Company’s motion to dismiss a principal claim relating to the alleged refusal to permit warrant exercise, with prejudice. As a result, the only remaining claim relates to Alta’s allegation that the Company failed to satisfy its contractual “best efforts” obligation to register the warrant shares. Alta has asserted damages of approximately $5.2 million in connection with this claim. The Company disputes both liability and Alta’s damages assertions and intends to continue to vigorously defend this matter.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light of the current procedural posture, including the pending dispositive motion, and the legal and factual complexities associated with the remaining claim, the Company has determined that a loss is neither probable nor reasonably estimable as of December 31, 2025. Accordingly, no provision for this contingency has been recorded in the consolidated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event mentioned above, in the opinion of management, there were no other pending or threatened claims and litigation as of December 31, 2025 and through the issuance date of these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capital commitments primarily relate to commitments on purchase of other cloud infrastructure and artificial intelligence platform. Total capital commitment contracted but not yet reflected in the consolidated financial statements as of December 31, 2025 was $33,986, which was expected to be paid within one year of December 31, 2025.</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the issuance date of the consolidated financial statements, the claim against Shengda Group (see Note 1) has not been resolved. The Group evaluated that Shanghai Feiyou’s equity interest in SunCar Online may have been reduced to approximately 47.98% as of the issuance date. However, pursuant to certain concerted action arrangements between Shanghai Feiyou and other shareholders, which collectively hold an aggregate equity interest of approximately 51.03% in SunCar Online, the Group believes that Shanghai Feiyou continues to maintain effective control over SunCar Online. Accordingly, the Group does not expect the outcome of this dispute to have a material impact on its consolidated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the impact of events that have occurred subsequent to December 31, 2025, through the issuance date, April 28, 2026, of the consolidated financial statements, and concluded that no other subsequent events have occurred that would require recognition in the consolidated financial statements or disclosure in the notes to the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23.  CONDENSED FINANCIAL INFORMATION OF THE PARENT COMPANY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requirements of Rule 12-04(a), 5-04(c) and 4-08(e)(3) of Regulation S-X, the condensed financial information of the parent company shall be filed when the restricted net assets of consolidated subsidiaries exceed 25 percent of consolidated net assets as of the end of the most recently completed fiscal year. The Company performed a test on the restricted net assets of consolidated subsidiaries in accordance with such requirements and concluded that it was applicable to the Company as the restricted net assets of the Company’s PRC subsidiaries exceeded 25% of the consolidated net assets of the Company. Therefore, the condensed financial statements for the parent company are included herein.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the above test, restricted net assets of consolidated subsidiaries shall mean that amount of the Company’s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financial information of the parent company has been prepared using the same accounting policies as set out in the Company’s consolidated financial statements except that the parent company used the equity method to account for investment in its subsidiaries. Such investment is presented on the condensed balance sheets as “Investment in subsidiaries” and the respective profit or loss as “Share of loss of subsidiaries” on the condensed statements of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pay any dividend for the periods presented. As of December 31, 2024 and 2025, there were no material contingencies, significant provisions for long-term obligations, or guarantees of the Company, except for those which have been separately disclosed in the consolidated financial statements, if 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30" w:lineRule="exact"/>
        <w:rPr>
          <w:sz w:val="20"/>
          <w:szCs w:val="20"/>
          <w:color w:val="auto"/>
        </w:rPr>
      </w:pPr>
    </w:p>
    <w:p>
      <w:pPr>
        <w:ind w:left="380" w:hanging="345"/>
        <w:spacing w:after="0"/>
        <w:tabs>
          <w:tab w:leader="none" w:pos="3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THE PARENT COMPANY - Continued</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PARENT COMPANY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5"/>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7,198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29,879</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5,943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13,174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33,278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of $0.0001 per share; 400,000,000 Class A Ordinary shares authorized as of</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December 31, 2024 and 2025, respectively; 51,845,493 and 51,645,493 Class A Ordinary shares issued 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2024; 59,608,351 and 55,969,794 Class A Ordinary shares issued and outstanding</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December 31, 2025)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8700" w:type="dxa"/>
            <w:vAlign w:val="bottom"/>
            <w:tcBorders>
              <w:right w:val="single" w:sz="8" w:color="CCEEFF"/>
            </w:tcBorders>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of $0.0001 per share; 100,000,000 Class B Ordinary shares authorized as of</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and 2025, respectively; 46,659,565 and 46,039,565 Class B Ordinary shares issued and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2024 and 2025, respectively)</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208,701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233,014</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(196,819)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(200,475)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11,892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32,550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13,174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33,278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PARENT COMPANY STATEMENTS OF OPERATIONS</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8"/>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(10,723)</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(32,536)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(31,020)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of subsidiaries</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(14,581)</w:t>
            </w:r>
          </w:p>
        </w:tc>
        <w:tc>
          <w:tcPr>
            <w:tcW w:w="22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(4,206)</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(25,805)</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(67,762)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of fair value of warrant liabilities</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(loss) income, net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(26,912)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(68,663)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(26,912</w:t>
            </w:r>
          </w:p>
        </w:tc>
        <w:tc>
          <w:tcPr>
            <w:tcW w:w="240" w:type="dxa"/>
            <w:vAlign w:val="bottom"/>
            <w:tcBorders>
              <w:top w:val="single" w:sz="8" w:color="CCEEFF"/>
              <w:bottom w:val="single" w:sz="8" w:color="CCEEFF"/>
              <w:right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(68,663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41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PARENT COMPANY STATEMENTS OF CASH FLOW</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8"/>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9,202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25,871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F-44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73" w:right="339" w:bottom="15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1."/>
      <w:numFmt w:val="decimal"/>
      <w:start w:val="75"/>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1"/>
      <w:numFmt w:val="upperLetter"/>
      <w:start w:val="1"/>
    </w:lvl>
    <w:lvl w:ilvl="1">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1)"/>
      <w:numFmt w:val="lowerLetter"/>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1)"/>
      <w:numFmt w:val="lowerRoman"/>
      <w:start w:val="2"/>
    </w:lvl>
  </w:abstractNum>
  <w:abstractNum w:abstractNumId="47">
    <w:nsid w:val="6590700B"/>
    <w:multiLevelType w:val="hybridMultilevel"/>
    <w:lvl w:ilvl="0">
      <w:lvlJc w:val="left"/>
      <w:lvlText w:val="(%1)"/>
      <w:numFmt w:val="decimal"/>
      <w:start w:val="30"/>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13"/>
    </w:lvl>
  </w:abstractNum>
  <w:abstractNum w:abstractNumId="51">
    <w:nsid w:val="799D0247"/>
    <w:multiLevelType w:val="hybridMultilevel"/>
    <w:lvl w:ilvl="0">
      <w:lvlJc w:val="left"/>
      <w:lvlText w:val="%1."/>
      <w:numFmt w:val="decimal"/>
      <w:start w:val="1"/>
    </w:lvl>
    <w:lvl w:ilvl="1">
      <w:lvlJc w:val="left"/>
      <w:lvlText w:val="(%2)"/>
      <w:numFmt w:val="lowerLetter"/>
      <w:start w:val="1"/>
    </w:lvl>
  </w:abstractNum>
  <w:abstractNum w:abstractNumId="52">
    <w:nsid w:val="6B94764"/>
    <w:multiLevelType w:val="hybridMultilevel"/>
    <w:lvl w:ilvl="0">
      <w:lvlJc w:val="left"/>
      <w:lvlText w:val="%1."/>
      <w:numFmt w:val="decimal"/>
      <w:start w:val="1"/>
    </w:lvl>
    <w:lvl w:ilvl="1">
      <w:lvlJc w:val="left"/>
      <w:lvlText w:val="(%2)"/>
      <w:numFmt w:val="lowerLetter"/>
      <w:start w:val="1"/>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1."/>
      <w:numFmt w:val="decimal"/>
      <w:start w:val="2"/>
    </w:lvl>
  </w:abstractNum>
  <w:abstractNum w:abstractNumId="61">
    <w:nsid w:val="613EFDC5"/>
    <w:multiLevelType w:val="hybridMultilevel"/>
    <w:lvl w:ilvl="0">
      <w:lvlJc w:val="left"/>
      <w:lvlText w:val="%1."/>
      <w:numFmt w:val="decimal"/>
      <w:start w:val="2"/>
    </w:lvl>
  </w:abstractNum>
  <w:abstractNum w:abstractNumId="62">
    <w:nsid w:val="BF72B14"/>
    <w:multiLevelType w:val="hybridMultilevel"/>
    <w:lvl w:ilvl="0">
      <w:lvlJc w:val="left"/>
      <w:lvlText w:val="%1."/>
      <w:numFmt w:val="decimal"/>
      <w:start w:val="2"/>
    </w:lvl>
  </w:abstractNum>
  <w:abstractNum w:abstractNumId="63">
    <w:nsid w:val="11447B73"/>
    <w:multiLevelType w:val="hybridMultilevel"/>
    <w:lvl w:ilvl="0">
      <w:lvlJc w:val="left"/>
      <w:lvlText w:val="%1."/>
      <w:numFmt w:val="decimal"/>
      <w:start w:val="2"/>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1."/>
      <w:numFmt w:val="decimal"/>
      <w:start w:val="2"/>
    </w:lvl>
  </w:abstractNum>
  <w:abstractNum w:abstractNumId="66">
    <w:nsid w:val="8F2B15E"/>
    <w:multiLevelType w:val="hybridMultilevel"/>
    <w:lvl w:ilvl="0">
      <w:lvlJc w:val="left"/>
      <w:lvlText w:val="%1."/>
      <w:numFmt w:val="decimal"/>
      <w:start w:val="2"/>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1."/>
      <w:numFmt w:val="decimal"/>
      <w:start w:val="2"/>
    </w:lvl>
  </w:abstractNum>
  <w:abstractNum w:abstractNumId="69">
    <w:nsid w:val="68EB2F63"/>
    <w:multiLevelType w:val="hybridMultilevel"/>
    <w:lvl w:ilvl="0">
      <w:lvlJc w:val="left"/>
      <w:lvlText w:val="%1."/>
      <w:numFmt w:val="decimal"/>
      <w:start w:val="2"/>
    </w:lvl>
  </w:abstractNum>
  <w:abstractNum w:abstractNumId="70">
    <w:nsid w:val="4962813B"/>
    <w:multiLevelType w:val="hybridMultilevel"/>
    <w:lvl w:ilvl="0">
      <w:lvlJc w:val="left"/>
      <w:lvlText w:val="%1."/>
      <w:numFmt w:val="decimal"/>
      <w:start w:val="2"/>
    </w:lvl>
  </w:abstractNum>
  <w:abstractNum w:abstractNumId="71">
    <w:nsid w:val="60B6DF70"/>
    <w:multiLevelType w:val="hybridMultilevel"/>
    <w:lvl w:ilvl="0">
      <w:lvlJc w:val="left"/>
      <w:lvlText w:val="%1."/>
      <w:numFmt w:val="decimal"/>
      <w:start w:val="2"/>
    </w:lvl>
  </w:abstractNum>
  <w:abstractNum w:abstractNumId="72">
    <w:nsid w:val="6A5EE64"/>
    <w:multiLevelType w:val="hybridMultilevel"/>
    <w:lvl w:ilvl="0">
      <w:lvlJc w:val="left"/>
      <w:lvlText w:val="%1."/>
      <w:numFmt w:val="decimal"/>
      <w:start w:val="2"/>
    </w:lvl>
  </w:abstractNum>
  <w:abstractNum w:abstractNumId="73">
    <w:nsid w:val="14330624"/>
    <w:multiLevelType w:val="hybridMultilevel"/>
    <w:lvl w:ilvl="0">
      <w:lvlJc w:val="left"/>
      <w:lvlText w:val="%1."/>
      <w:numFmt w:val="decimal"/>
      <w:start w:val="2"/>
    </w:lvl>
  </w:abstractNum>
  <w:abstractNum w:abstractNumId="74">
    <w:nsid w:val="7FFFCA11"/>
    <w:multiLevelType w:val="hybridMultilevel"/>
    <w:lvl w:ilvl="0">
      <w:lvlJc w:val="left"/>
      <w:lvlText w:val="%1."/>
      <w:numFmt w:val="decimal"/>
      <w:start w:val="2"/>
    </w:lvl>
  </w:abstractNum>
  <w:abstractNum w:abstractNumId="75">
    <w:nsid w:val="1A27709E"/>
    <w:multiLevelType w:val="hybridMultilevel"/>
    <w:lvl w:ilvl="0">
      <w:lvlJc w:val="left"/>
      <w:lvlText w:val="%1."/>
      <w:numFmt w:val="decimal"/>
      <w:start w:val="3"/>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1."/>
      <w:numFmt w:val="decimal"/>
      <w:start w:val="4"/>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6"/>
    </w:lvl>
  </w:abstractNum>
  <w:abstractNum w:abstractNumId="80">
    <w:nsid w:val="6F6DD9AC"/>
    <w:multiLevelType w:val="hybridMultilevel"/>
    <w:lvl w:ilvl="0">
      <w:lvlJc w:val="left"/>
      <w:lvlText w:val="(%1)"/>
      <w:numFmt w:val="lowerRoman"/>
      <w:start w:val="1"/>
    </w:lvl>
  </w:abstractNum>
  <w:abstractNum w:abstractNumId="81">
    <w:nsid w:val="94211F2"/>
    <w:multiLevelType w:val="hybridMultilevel"/>
    <w:lvl w:ilvl="0">
      <w:lvlJc w:val="left"/>
      <w:lvlText w:val="%1."/>
      <w:numFmt w:val="decimal"/>
      <w:start w:val="6"/>
    </w:lvl>
  </w:abstractNum>
  <w:abstractNum w:abstractNumId="82">
    <w:nsid w:val="885E1B"/>
    <w:multiLevelType w:val="hybridMultilevel"/>
    <w:lvl w:ilvl="0">
      <w:lvlJc w:val="left"/>
      <w:lvlText w:val="(%1)"/>
      <w:numFmt w:val="lowerRoman"/>
      <w:start w:val="1"/>
    </w:lvl>
  </w:abstractNum>
  <w:abstractNum w:abstractNumId="83">
    <w:nsid w:val="76272110"/>
    <w:multiLevelType w:val="hybridMultilevel"/>
    <w:lvl w:ilvl="0">
      <w:lvlJc w:val="left"/>
      <w:lvlText w:val="(%1)"/>
      <w:numFmt w:val="lowerRoman"/>
      <w:start w:val="1"/>
    </w:lvl>
  </w:abstractNum>
  <w:abstractNum w:abstractNumId="84">
    <w:nsid w:val="4C04A8AF"/>
    <w:multiLevelType w:val="hybridMultilevel"/>
    <w:lvl w:ilvl="0">
      <w:lvlJc w:val="left"/>
      <w:lvlText w:val="(%1)"/>
      <w:numFmt w:val="lowerRoman"/>
      <w:start w:val="1"/>
    </w:lvl>
  </w:abstractNum>
  <w:abstractNum w:abstractNumId="85">
    <w:nsid w:val="1716703B"/>
    <w:multiLevelType w:val="hybridMultilevel"/>
    <w:lvl w:ilvl="0">
      <w:lvlJc w:val="left"/>
      <w:lvlText w:val="(%1)"/>
      <w:numFmt w:val="lowerRoman"/>
      <w:start w:val="1"/>
    </w:lvl>
  </w:abstractNum>
  <w:abstractNum w:abstractNumId="86">
    <w:nsid w:val="14E17E33"/>
    <w:multiLevelType w:val="hybridMultilevel"/>
    <w:lvl w:ilvl="0">
      <w:lvlJc w:val="left"/>
      <w:lvlText w:val="(%1)"/>
      <w:numFmt w:val="lowerRoman"/>
      <w:start w:val="1"/>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jpe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23" Type="http://schemas.openxmlformats.org/officeDocument/2006/relationships/hyperlink" Target="http://www.sec.gov/Archives/edgar/data/1936804/000121390023057085/f20f2022ex1-1_suncar.htm" TargetMode="External"/><Relationship Id="rId124" Type="http://schemas.openxmlformats.org/officeDocument/2006/relationships/hyperlink" Target="https://www.sec.gov/Archives/edgar/data/1936804/000149315223007086/ex4-8.htm" TargetMode="External"/><Relationship Id="rId125" Type="http://schemas.openxmlformats.org/officeDocument/2006/relationships/hyperlink" Target="https://www.sec.gov/Archives/edgar/data/1822792/000121390022029756/ea160631ex2-1_goldenbrid.htm" TargetMode="External"/><Relationship Id="rId126" Type="http://schemas.openxmlformats.org/officeDocument/2006/relationships/hyperlink" Target="https://www.sec.gov/Archives/edgar/data/1936804/000149315223008996/formf-4a.htm#catty_003" TargetMode="External"/><Relationship Id="rId127" Type="http://schemas.openxmlformats.org/officeDocument/2006/relationships/hyperlink" Target="https://www.sec.gov/Archives/edgar/data/1822792/000121390021013516/ea137044ex4-1_goldenbridge.htm" TargetMode="External"/><Relationship Id="rId128" Type="http://schemas.openxmlformats.org/officeDocument/2006/relationships/hyperlink" Target="https://www.sec.gov/Archives/edgar/data/1822792/000121390021013516/ea137044ex4-2_goldenbridge.htm" TargetMode="External"/><Relationship Id="rId129" Type="http://schemas.openxmlformats.org/officeDocument/2006/relationships/hyperlink" Target="https://www.sec.gov/Archives/edgar/data/1936804/000149315223001804/ex4-9.htm" TargetMode="External"/><Relationship Id="rId130" Type="http://schemas.openxmlformats.org/officeDocument/2006/relationships/hyperlink" Target="https://www.sec.gov/Archives/edgar/data/1822792/000121390021013516/ea137044ex10-4_goldenbridge.htm" TargetMode="External"/><Relationship Id="rId131" Type="http://schemas.openxmlformats.org/officeDocument/2006/relationships/hyperlink" Target="https://www.sec.gov/Archives/edgar/data/1936804/000149315223007086/ex10-6.htm" TargetMode="External"/><Relationship Id="rId132" Type="http://schemas.openxmlformats.org/officeDocument/2006/relationships/hyperlink" Target="https://www.sec.gov/Archives/edgar/data/1936804/000149315223001804/ex10-7.htm" TargetMode="External"/><Relationship Id="rId133" Type="http://schemas.openxmlformats.org/officeDocument/2006/relationships/hyperlink" Target="https://www.sec.gov/Archives/edgar/data/1936804/000149315223001804/ex10-8.htm" TargetMode="External"/><Relationship Id="rId134" Type="http://schemas.openxmlformats.org/officeDocument/2006/relationships/hyperlink" Target="https://www.sec.gov/Archives/edgar/data/1822792/000121390021003152/ea133491ex14_goldenbridge.htm" TargetMode="External"/><Relationship Id="rId135" Type="http://schemas.openxmlformats.org/officeDocument/2006/relationships/hyperlink" Target="http://www.sec.gov/Archives/edgar/data/1936804/000121390025036086/ea023918901ex11-1_suncar.htm" TargetMode="External"/><Relationship Id="rId136" Type="http://schemas.openxmlformats.org/officeDocument/2006/relationships/hyperlink" Target="http://www.sec.gov/Archives/edgar/data/1936804/000121390024036833/ea020428201ex97-1_sunc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2026-04-28T16:02:13Z</dcterms:created>
  <dcterms:modified xsi:type="dcterms:W3CDTF">2026-04-28T16:02:13Z</dcterms:modified>
</cp:coreProperties>
</file>