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8136-6k_suncar.htm"/>
      <w:bookmarkStart w:id="1" w:name="ksea02881366k_sunca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Shanghai Feiyou Trading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209, No. 656 Lingshi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Jing’an District, Shanghai, 200072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 138-1779-6110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SunCar Technology Group Inc., a Cayman Islands exempted company, furnishes under the cover of Form 6-K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4"/>
        <w:gridCol w:w="60"/>
        <w:gridCol w:w="9161"/>
      </w:tblGrid>
      <w:tr>
        <w:trPr/>
        <w:tc>
          <w:tcPr>
            <w:tcW w:w="984"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161"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984"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61" w:type="dxa"/>
            <w:tcBorders/>
            <w:shd w:fill="CCEEFF" w:val="clear"/>
            <w:tcMar>
              <w:bottom w:w="0" w:type="dxa"/>
            </w:tcMar>
            <w:vAlign w:val="center"/>
          </w:tcPr>
          <w:p>
            <w:pPr>
              <w:pStyle w:val="TableContents"/>
              <w:bidi w:val="0"/>
              <w:spacing w:before="0" w:after="283"/>
              <w:jc w:val="both"/>
              <w:rPr/>
            </w:pPr>
            <w:hyperlink w:anchor="ea028813601ex99-1.htm">
              <w:r>
                <w:rPr>
                  <w:rStyle w:val="InternetLink"/>
                  <w:sz w:val="20"/>
                </w:rPr>
                <w:t>Earnings Release dated April 28, 2026, announcing its financial results for the fiscal year ended December 31,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80"/>
        <w:jc w:val="both"/>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700"/>
        <w:gridCol w:w="545"/>
        <w:gridCol w:w="2360"/>
      </w:tblGrid>
      <w:tr>
        <w:trPr/>
        <w:tc>
          <w:tcPr>
            <w:tcW w:w="1700" w:type="dxa"/>
            <w:tcBorders/>
            <w:vAlign w:val="center"/>
          </w:tcPr>
          <w:p>
            <w:pPr>
              <w:pStyle w:val="TableContents"/>
              <w:bidi w:val="0"/>
              <w:spacing w:before="0" w:after="283"/>
              <w:jc w:val="left"/>
              <w:rPr>
                <w:sz w:val="20"/>
              </w:rPr>
            </w:pPr>
            <w:r>
              <w:rPr>
                <w:sz w:val="20"/>
              </w:rPr>
              <w:t>Date: April 29, 2026</w:t>
            </w:r>
          </w:p>
        </w:tc>
        <w:tc>
          <w:tcPr>
            <w:tcW w:w="2905" w:type="dxa"/>
            <w:gridSpan w:val="2"/>
            <w:tcBorders/>
            <w:vAlign w:val="center"/>
          </w:tcPr>
          <w:p>
            <w:pPr>
              <w:pStyle w:val="TableContents"/>
              <w:bidi w:val="0"/>
              <w:spacing w:before="0" w:after="283"/>
              <w:jc w:val="left"/>
              <w:rPr>
                <w:sz w:val="20"/>
              </w:rPr>
            </w:pPr>
            <w:r>
              <w:rPr>
                <w:sz w:val="20"/>
              </w:rPr>
              <w:t>SunCar Technology Group Inc.</w:t>
            </w:r>
          </w:p>
        </w:tc>
      </w:tr>
      <w:tr>
        <w:trPr/>
        <w:tc>
          <w:tcPr>
            <w:tcW w:w="1700" w:type="dxa"/>
            <w:tcBorders/>
            <w:vAlign w:val="center"/>
          </w:tcPr>
          <w:p>
            <w:pPr>
              <w:pStyle w:val="TableContents"/>
              <w:bidi w:val="0"/>
              <w:spacing w:before="0" w:after="283"/>
              <w:jc w:val="left"/>
              <w:rPr/>
            </w:pPr>
            <w:r>
              <w:rPr/>
              <w:t> </w:t>
            </w:r>
          </w:p>
        </w:tc>
        <w:tc>
          <w:tcPr>
            <w:tcW w:w="2905"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Zaichang Ye</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360" w:type="dxa"/>
            <w:tcBorders/>
            <w:vAlign w:val="center"/>
          </w:tcPr>
          <w:p>
            <w:pPr>
              <w:pStyle w:val="TableContents"/>
              <w:bidi w:val="0"/>
              <w:spacing w:before="0" w:after="283"/>
              <w:jc w:val="left"/>
              <w:rPr>
                <w:sz w:val="20"/>
              </w:rPr>
            </w:pPr>
            <w:r>
              <w:rPr>
                <w:sz w:val="20"/>
              </w:rPr>
              <w:t>Zaichang Ye</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360" w:type="dxa"/>
            <w:tcBorders/>
            <w:vAlign w:val="center"/>
          </w:tcPr>
          <w:p>
            <w:pPr>
              <w:pStyle w:val="TableContents"/>
              <w:bidi w:val="0"/>
              <w:spacing w:before="0" w:after="283"/>
              <w:jc w:val="left"/>
              <w:rPr>
                <w:sz w:val="20"/>
              </w:rPr>
            </w:pPr>
            <w:r>
              <w:rPr>
                <w:sz w:val="20"/>
              </w:rPr>
              <w:t>Chief Executive Officer</w:t>
              <w:br/>
              <w:t>(Principal Executive Officer)</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 w:name="ea028813601ex99-1.htm"/>
      <w:bookmarkStart w:id="3" w:name="ksea028813601ex991"/>
      <w:bookmarkEnd w:id="2"/>
      <w:bookmarkEnd w:id="3"/>
      <w:r>
        <w:rPr>
          <w:rFonts w:ascii="Times New Roman;Times;Serif" w:hAnsi="Times New Roman;Times;Serif"/>
          <w:b/>
          <w:i w:val="false"/>
          <w:caps w:val="false"/>
          <w:smallCaps w:val="false"/>
          <w:sz w:val="20"/>
        </w:rPr>
        <w:t>Exbibit 99.1</w:t>
      </w:r>
      <w:r>
        <w:br w:type="page"/>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SunCar Technology Reports Financial Results for Full Year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28,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Profitable in the Third and Fourth Quarters of 2025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Delivered Record Annual Revenue of $489 million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revenue increased 17% year-over-year to $151 million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Increased Auto Partners’ Premiums by over 190%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Signed Strategic AI Partnership with ByteDance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April 28, 2026</w:t>
      </w:r>
      <w:r>
        <w:rPr>
          <w:rFonts w:ascii="Times New Roman;Times;Serif" w:hAnsi="Times New Roman;Times;Serif"/>
          <w:b w:val="false"/>
          <w:i w:val="false"/>
          <w:caps w:val="false"/>
          <w:smallCaps w:val="false"/>
          <w:sz w:val="20"/>
        </w:rPr>
        <w:t>-- SunCar Technology Group Inc. (the "Company" or "SunCar") (NASDAQ: SDA), an innovative leader in AI-powered auto insurance and auto services, today announced financial results for the year ended December 31,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"SunCar had a transformational year where our products and partnerships with China’s leading EV companies became truly AI-centric.” Zaichang Ye, Chairman and CEO of SunCar, said. “China’s global leadership in open-source AI is now well-established. SunCar, through its partnership with ByteDance, is fully leveraging its partner’s valuable AI technology in both new product development and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ByteDance’s world-class multimodal AI is allowing us to create products such as agent-based policy matching and pricing, video inspections, predictive maintenance, accident analysis, and other products we could only imagine several years ago.”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 very pleased with our strong 2025 results, record revenue of $489 million, and profitability in the second half of the year. SunCar is building unique, AI-powered technology that enables our auto partners to sell insurance and other downstream services successfully. That is our key differentiator!”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Full Year, Third and Fourth Quarter 2025 Financial Highlights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Generated a profit of $1.4 million in the third quarter of 2025, increasing to a profit of $1.7 million in the fourth quarter of 2025.</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7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 revenue increased 17% to a record $151.2 million year-over-year.</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Full year revenue increased 11% to $489.3 million year-over-year.</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Full year net loss was $2.4 million compared to a net loss of $64.5 million in 2024. The significant reduction in net loss was due to a significant decrease in share-based compensation in 2025 compared to 2024.</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Full year adjusted EBITDA was $11.0 million, compared to $9.8 million in 2024.</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SunCar ended the year with cash and short-term investments of $46.6 million.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Full Year 2025 &amp; Recent Business Highlights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Tesla:</w:t>
            </w:r>
            <w:r>
              <w:rPr>
                <w:rFonts w:ascii="Times New Roman;Times;Serif" w:hAnsi="Times New Roman;Times;Serif"/>
              </w:rPr>
              <w:t xml:space="preserve"> Launched an integrated “Insurance + Auto Services” module on the Tesla App. SunCar installed its insurance platform at independent service centers in third-tier cities helping Tesla avoid the need to build its own service centers.</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Xiaomi:</w:t>
            </w:r>
            <w:r>
              <w:rPr>
                <w:rFonts w:ascii="Times New Roman;Times;Serif" w:hAnsi="Times New Roman;Times;Serif"/>
              </w:rPr>
              <w:t xml:space="preserve"> New Xiaomi models featured AI upgrades from SunCar’s Anji AI service center to provide owners with more customized auto insurance and services.</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NIO: </w:t>
            </w:r>
            <w:r>
              <w:rPr>
                <w:rFonts w:ascii="Times New Roman;Times;Serif" w:hAnsi="Times New Roman;Times;Serif"/>
                <w:shd w:fill="FFFFFF" w:val="clear"/>
              </w:rPr>
              <w:t>With the launch of NIO’s ES8 and ONVO L90 models, SunCar’s technology provided NIO owners with “one-click” auto insurance policy shopping.</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Leapmotor: </w:t>
            </w:r>
            <w:r>
              <w:rPr>
                <w:rFonts w:ascii="Times New Roman;Times;Serif" w:hAnsi="Times New Roman;Times;Serif"/>
              </w:rPr>
              <w:t>SunCar announced that it had taken over management of Leapmotor’s digital insurance platform and achieved 60%+ conversion rates.</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ByteDance AI Partnership:</w:t>
            </w:r>
            <w:r>
              <w:rPr>
                <w:rFonts w:ascii="Times New Roman;Times;Serif" w:hAnsi="Times New Roman;Times;Serif"/>
              </w:rPr>
              <w:t xml:space="preserve"> SunCar announced a partnership with ByteDance AI to develop leading AI-powered products and to optimize SunCar’s operations.</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Anji AI Development Center:</w:t>
            </w:r>
            <w:r>
              <w:rPr>
                <w:rFonts w:ascii="Times New Roman;Times;Serif" w:hAnsi="Times New Roman;Times;Serif"/>
              </w:rPr>
              <w:t xml:space="preserve"> SunCar announced that its Anji AI Center was contributing to 190%+ insurance sales growth for its partners, Xpeng and Tesla.</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Agricultural Bank of China:</w:t>
            </w:r>
            <w:r>
              <w:rPr>
                <w:rFonts w:ascii="Times New Roman;Times;Serif" w:hAnsi="Times New Roman;Times;Serif"/>
              </w:rPr>
              <w:t xml:space="preserve"> In April 2026, SunCar announced it had won an estimated $50 million, three-year concierge chauffeur contract with the bank.</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Ping An Bank: </w:t>
            </w:r>
            <w:r>
              <w:rPr>
                <w:rFonts w:ascii="Times New Roman;Times;Serif" w:hAnsi="Times New Roman;Times;Serif"/>
              </w:rPr>
              <w:t>SunCar expanded its partnership with Ping An Bank to include all auto services for the Bank’s credit card and consumer finance centers.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u w:val="single"/>
        </w:rPr>
        <w:t>Full Year, Third and Fourth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and Fourth Quarters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Fourth quarter revenue increased 17% year-over-year to a record $151.2 million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187"/>
        <w:gridCol w:w="9977"/>
      </w:tblGrid>
      <w:tr>
        <w:trPr/>
        <w:tc>
          <w:tcPr>
            <w:tcW w:w="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Profit of $1.4 million in the third quarter, increasing to $1.7 million in the fourth quarter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increased 11% year-over-year to $489.3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was $2.4 million compared to a net loss of $64.5 million in 2024. The significant reduction was due to a large decrease in share-based compensation expenses.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was $11.0 million compared to $9.8 million a year ago.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Auto eInsurance revenue increased 25% to $212.6 million year-over-year. This growth was driven by the increased number of insurance policies sold.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 Services revenue increased 19% to $53.6 million from a year ago.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Auto Services revenue decreased 1% to $223.1 million year-over-year. This decrease was due to management’s decision not to renew certain less-profitable contracts.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costs and expenses decreased to $485.4 million from $500.3 million a year ago. This decrease was due to operating efficiencies and the higher percentage of insurance revenue.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Integrated service costs increased to $241.5 million in 2025, from $226.2 million a year ago. This increase was due largely to the growth of Technology Service revenue and its associated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Promotional services expenses increased to $197.0 million for the year ended from $164.3 million a year ago. This increase is in line with the growth of SunCar’s insurance segment.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3"/>
        <w:gridCol w:w="237"/>
        <w:gridCol w:w="9915"/>
      </w:tblGrid>
      <w:tr>
        <w:trPr/>
        <w:tc>
          <w:tcPr>
            <w:tcW w:w="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expenses decreased to $18.9 million from $22.6 million a year ago.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 decreased to $19.0 million from $47.0 million a year ago. This decrease was primarily due to the absence of a one-time $62.0 million share-based compensation expense in 2024.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 expenses decreased from $40.2 million in 2024 to $9.0 million in 2025. This decrease was primarily due to the absence of a one-time $62.0 million share-based compensation expense in 2024.</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Ended the year with $46.6 million in cash and short-term investments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Insurance Segment Review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Tesla:</w:t>
            </w:r>
            <w:r>
              <w:rPr>
                <w:rFonts w:ascii="Times New Roman;Times;Serif" w:hAnsi="Times New Roman;Times;Serif"/>
              </w:rPr>
              <w:t xml:space="preserve"> SunCar’s innovative “Insurance plus Services Package" is now available on the Tesla App. SunCar’s insurance platform was successfully installed at independent service centers. SunCar became the first partner to enable Tesla to support drivers in third-tier cities without building its own delivery centers.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NIO:</w:t>
            </w:r>
            <w:r>
              <w:rPr>
                <w:rFonts w:ascii="Times New Roman;Times;Serif" w:hAnsi="Times New Roman;Times;Serif"/>
              </w:rPr>
              <w:t xml:space="preserve"> NIO’s insurance revenue has increased dramatically with SunCar’s app streamlining the policy issuance process and expediting application approvals.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Li Auto:</w:t>
            </w:r>
            <w:r>
              <w:rPr>
                <w:rFonts w:ascii="Times New Roman;Times;Serif" w:hAnsi="Times New Roman;Times;Serif"/>
              </w:rPr>
              <w:t xml:space="preserve"> Li’s online pilot program of SunCar’s platform has achieved significant success in multiple cities with a nationwide rollout planned for 2026.</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Leapmotor:</w:t>
            </w:r>
            <w:r>
              <w:rPr>
                <w:rFonts w:ascii="Times New Roman;Times;Serif" w:hAnsi="Times New Roman;Times;Serif"/>
              </w:rPr>
              <w:t xml:space="preserve"> In September, SunCar announced that it had taken over the management of Leapmotor’s digital insurance with conversions exceeding 60%.</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ZEEKR:</w:t>
            </w:r>
            <w:r>
              <w:rPr>
                <w:rFonts w:ascii="Times New Roman;Times;Serif" w:hAnsi="Times New Roman;Times;Serif"/>
              </w:rPr>
              <w:t xml:space="preserve"> SunCar’s smart insurance system improved efficiency for ZEEKR stores. Suncar’s custom cloud customer service reduced lead times.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XPeng:</w:t>
            </w:r>
            <w:r>
              <w:rPr>
                <w:rFonts w:ascii="Times New Roman;Times;Serif" w:hAnsi="Times New Roman;Times;Serif"/>
              </w:rPr>
              <w:t xml:space="preserve"> SunCar has expanded its strategic cooperation with Xpeng to include helping XPeng sell extended warranties and other service products online.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Xiaomi:</w:t>
            </w:r>
            <w:r>
              <w:rPr>
                <w:rFonts w:ascii="Times New Roman;Times;Serif" w:hAnsi="Times New Roman;Times;Serif"/>
              </w:rPr>
              <w:t xml:space="preserve"> SunCar’s platform manages all lapsed insurance renewals for Xiaomi and has created an industry-leading customer service process.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Huawei:</w:t>
            </w:r>
            <w:r>
              <w:rPr>
                <w:rFonts w:ascii="Times New Roman;Times;Serif" w:hAnsi="Times New Roman;Times;Serif"/>
              </w:rPr>
              <w:t xml:space="preserve"> SunCar won the bid to manage insurance for Huawei’s (HIMA) alliance. HIMA is Huawei’s automotive technology platform and alliance network.</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6"/>
        <w:gridCol w:w="9929"/>
      </w:tblGrid>
      <w:tr>
        <w:trPr/>
        <w:tc>
          <w:tcPr>
            <w:tcW w:w="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China Post: </w:t>
            </w:r>
            <w:r>
              <w:rPr>
                <w:rFonts w:ascii="Times New Roman;Times;Serif" w:hAnsi="Times New Roman;Times;Serif"/>
              </w:rPr>
              <w:t>Signed agreement with China Post to add 174 new partner stores.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Gas Vehicle Market:</w:t>
            </w:r>
            <w:r>
              <w:rPr>
                <w:rFonts w:ascii="Times New Roman;Times;Serif" w:hAnsi="Times New Roman;Times;Serif"/>
              </w:rPr>
              <w:t xml:space="preserve"> SunCar’s car dealer management system is fully operational, featuring "One-Screen Quoting" and Lead/Task Management.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Jiayi Auto Insurance</w:t>
            </w:r>
            <w:r>
              <w:rPr>
                <w:rFonts w:ascii="Times New Roman;Times;Serif" w:hAnsi="Times New Roman;Times;Serif"/>
              </w:rPr>
              <w:t>: Closed acquisition of Jiayi Auto Insurance Agency.</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Auto Services Segment Review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Agricultural Bank of China:</w:t>
            </w:r>
            <w:r>
              <w:rPr>
                <w:rFonts w:ascii="Times New Roman;Times;Serif" w:hAnsi="Times New Roman;Times;Serif"/>
              </w:rPr>
              <w:t xml:space="preserve"> In April 2026, SunCar announced it had won an estimated $50 million, three-year concierge chauffeur contract with the bank. This enterprise-wide contract with one of the world’s largest banks demonstrates SunCar’s ability to meet the auto services needs of the largest corporations.</w:t>
            </w:r>
          </w:p>
        </w:tc>
      </w:tr>
    </w:tbl>
    <w:p>
      <w:pPr>
        <w:pStyle w:val="TextBody"/>
        <w:shd w:fill="FFFFFF" w:val="clear"/>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CITIC Bank Private Banking:</w:t>
            </w:r>
            <w:r>
              <w:rPr>
                <w:rFonts w:ascii="Times New Roman;Times;Serif" w:hAnsi="Times New Roman;Times;Serif"/>
              </w:rPr>
              <w:t xml:space="preserve"> SunCar is the exclusive provider of concierge chauffeur solutions for CITIC Private Banking’s high-net-worth clients.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China Construction Bank(“CCB”): </w:t>
            </w:r>
            <w:r>
              <w:rPr>
                <w:rFonts w:ascii="Times New Roman;Times;Serif" w:hAnsi="Times New Roman;Times;Serif"/>
              </w:rPr>
              <w:t>During the year, SunCar launched multiple key projects for CCB, including chauffeur services for VIP card members.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PICC: </w:t>
            </w:r>
            <w:r>
              <w:rPr>
                <w:rFonts w:ascii="Times New Roman;Times;Serif" w:hAnsi="Times New Roman;Times;Serif"/>
              </w:rPr>
              <w:t>SunCar won bids for PICC’s chauffeur services across 13 provincial offices and signed contracts for auto services in two other provinces.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Ping An Bank: </w:t>
            </w:r>
            <w:r>
              <w:rPr>
                <w:rFonts w:ascii="Times New Roman;Times;Serif" w:hAnsi="Times New Roman;Times;Serif"/>
              </w:rPr>
              <w:t xml:space="preserve">SunCar </w:t>
            </w:r>
            <w:r>
              <w:rPr>
                <w:rFonts w:ascii="Times New Roman;Times;Serif" w:hAnsi="Times New Roman;Times;Serif"/>
                <w:shd w:fill="FFFFFF" w:val="clear"/>
              </w:rPr>
              <w:t>served as the preferred aftermarket service provider for Ping An Bank's Credit Card Center and Automotive Consumer Finance Center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Ping An Insurance: </w:t>
            </w:r>
            <w:r>
              <w:rPr>
                <w:rFonts w:ascii="Times New Roman;Times;Serif" w:hAnsi="Times New Roman;Times;Serif"/>
              </w:rPr>
              <w:t>SunCar expanded auto services to three new provinces and won additional provincial bids for chauffeur services and VIP lounge services.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VISA: </w:t>
            </w:r>
            <w:r>
              <w:rPr>
                <w:rFonts w:ascii="Times New Roman;Times;Serif" w:hAnsi="Times New Roman;Times;Serif"/>
              </w:rPr>
              <w:t xml:space="preserve">In February 2025, SunCar won the bid for the </w:t>
            </w:r>
            <w:r>
              <w:rPr>
                <w:rFonts w:ascii="Times New Roman;Times;Serif" w:hAnsi="Times New Roman;Times;Serif"/>
                <w:b/>
              </w:rPr>
              <w:t>Visa</w:t>
            </w:r>
            <w:r>
              <w:rPr>
                <w:rFonts w:ascii="Times New Roman;Times;Serif" w:hAnsi="Times New Roman;Times;Serif"/>
              </w:rPr>
              <w:t xml:space="preserve"> concierge service project, providing airport and high-speed rail pickup/drop-off services across China for Industrial and Commercial Bank of China (ICBC) Platinum and Black Gold cardholders. </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Beibu Gulf Port: </w:t>
            </w:r>
            <w:r>
              <w:rPr>
                <w:rFonts w:ascii="Times New Roman;Times;Serif" w:hAnsi="Times New Roman;Times;Serif"/>
              </w:rPr>
              <w:t>SunCar signed a corporate chauffeur agreement and long-term strategic partnership through 2027. The contract includes the deep integration of SunCar’s transportation platform into Beibu’s operations.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China Resources: </w:t>
            </w:r>
            <w:r>
              <w:rPr>
                <w:rFonts w:ascii="Times New Roman;Times;Serif" w:hAnsi="Times New Roman;Times;Serif"/>
              </w:rPr>
              <w:t>SunCar managed concierge chauffeur services for the prestigious "Yaji" event series with customers receiving bespoke travel services.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DiDi:</w:t>
            </w:r>
            <w:r>
              <w:rPr>
                <w:rFonts w:ascii="Times New Roman;Times;Serif" w:hAnsi="Times New Roman;Times;Serif"/>
              </w:rPr>
              <w:t xml:space="preserve"> Suncar provided an end-to-end vehicle air quality management solution to DiDi with professional air quality monitoring and air purification.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SunCar is maintaining its $600 million revenue forecast for the full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information about the Company’s view of its future expectations, plans, and prospects that constitute forward-looking statements within the meaning of the Private Securities Litigation Reform Act of 1995. Actual results may differ materially from historical results or those indicated by these forward-looking statements as a result of a variety of factors including, but not limited to, risks and uncertainties associated with its ability to raise additional funding, its ability to maintain and grow its business, variability of operating results, its ability to maintain and enhance its brand, its development and introduction of new products and services, the successful integration of acquired companies, technologies and assets into its portfolio of products and services, marketing and other business development initiatives, competition in the industry, general government regulation, economic conditions, dependence on key personnel, the ability to attract, hire and retain personnel who possess the technical skills and experience necessary to meet the requirements of its clients, and its ability to protect its intellectual property. Forward-looking statements in this release include statements regarding the planned launch of AI-powered services, expected improvements in customer experience, potential cost reductions, and the development of SaaS solutions. These statements involve risks, including technology development challenges, market acceptance, regulatory approval requirements, and the ability to scale AI implementations. For a detailed discussion of these risks, please refer to the Company's Annual Report on Form 20-F and other filings with the Securities and Exchange Commission. Forward-looking statements speak only as of the date of this press release, and the Company undertakes no obligation to update or revise these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Mr. Breaux Walker</w:t>
      </w:r>
      <w:r>
        <w:rPr>
          <w:rFonts w:ascii="Times New Roman;Times;Serif" w:hAnsi="Times New Roman;Times;Serif"/>
          <w:b w:val="false"/>
          <w:i w:val="false"/>
          <w:caps w:val="false"/>
          <w:smallCaps w:val="false"/>
          <w:sz w:val="20"/>
        </w:rPr>
        <w:br/>
        <w:t>Email: IR@suncartech.com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Ms. Li Chen</w:t>
      </w:r>
      <w:r>
        <w:rPr>
          <w:rFonts w:ascii="Times New Roman;Times;Serif" w:hAnsi="Times New Roman;Times;Serif"/>
          <w:b w:val="false"/>
          <w:i w:val="false"/>
          <w:caps w:val="false"/>
          <w:smallCaps w:val="false"/>
          <w:sz w:val="20"/>
        </w:rPr>
        <w:br/>
        <w:t>Email: chenli@suncartech.com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SunCar Technology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8"/>
        <w:gridCol w:w="60"/>
        <w:gridCol w:w="140"/>
        <w:gridCol w:w="875"/>
        <w:gridCol w:w="95"/>
        <w:gridCol w:w="60"/>
        <w:gridCol w:w="140"/>
        <w:gridCol w:w="875"/>
        <w:gridCol w:w="82"/>
      </w:tblGrid>
      <w:tr>
        <w:trPr/>
        <w:tc>
          <w:tcPr>
            <w:tcW w:w="787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82" w:type="dxa"/>
            <w:tcBorders/>
            <w:vAlign w:val="center"/>
          </w:tcPr>
          <w:p>
            <w:pPr>
              <w:pStyle w:val="TableContents"/>
              <w:bidi w:val="0"/>
              <w:spacing w:before="0" w:after="283"/>
              <w:ind w:left="0" w:right="0" w:hanging="180"/>
              <w:jc w:val="left"/>
              <w:rPr/>
            </w:pPr>
            <w:r>
              <w:rPr/>
              <w:t> </w:t>
            </w:r>
          </w:p>
        </w:tc>
      </w:tr>
      <w:tr>
        <w:trPr/>
        <w:tc>
          <w:tcPr>
            <w:tcW w:w="7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2" w:type="dxa"/>
            <w:tcBorders/>
            <w:vAlign w:val="center"/>
          </w:tcPr>
          <w:p>
            <w:pPr>
              <w:pStyle w:val="TableContents"/>
              <w:bidi w:val="0"/>
              <w:spacing w:before="0" w:after="283"/>
              <w:ind w:left="0" w:right="0" w:hanging="180"/>
              <w:jc w:val="left"/>
              <w:rPr/>
            </w:pPr>
            <w:r>
              <w:rPr/>
              <w:t> </w:t>
            </w:r>
          </w:p>
        </w:tc>
      </w:tr>
      <w:tr>
        <w:trPr/>
        <w:tc>
          <w:tcPr>
            <w:tcW w:w="787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7878"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25,019</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2,841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20,985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21,597</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59,767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Prepaid expenses and other current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70,171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74,072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196,273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183,296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Long-term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Property, software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24,195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Intangible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Deferred tax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11,947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30,821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2,243</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69,900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246,728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253,196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83,597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80,394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Long-term borrowing,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56,812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41,404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5,730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1,468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10,697</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Amount due to related parties,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6,659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834</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156,765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147,257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1,333</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Long-term borrowing,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Amount due to related parties,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12,516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15,257</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180,494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162,514</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Commitments and contingencies (Note 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Class A Ordinary shares (par value of $0.0001 per share; 400,000,000 Class A Ordinary shares authorized as of December 31, 2024 and 2025, respectively; 51,845,493 and 51,645,493 Class A Ordinary shares issued and outstanding as of December 31, 2024; 59,608,351 and 55,969,794 Class A Ordinary shares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Class B Ordinary shares (par value of $0.0001 per share; 100,000,000 Class B Ordinary shares authorized as of December 31, 2024 and 2025, respectively; 46,659,565 and 46,039,565 Class B Ordinary shares issued and outstanding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233,014</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(195,387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(199,329</w:t>
            </w:r>
          </w:p>
        </w:tc>
        <w:tc>
          <w:tcPr>
            <w:tcW w:w="82" w:type="dxa"/>
            <w:tcBorders/>
            <w:shd w:fill="FFFFFF" w:val="clear"/>
            <w:vAlign w:val="center"/>
          </w:tcPr>
          <w:p>
            <w:pPr>
              <w:pStyle w:val="TableContents"/>
              <w:bidi w:val="0"/>
              <w:spacing w:before="0" w:after="283"/>
              <w:ind w:left="0" w:right="0" w:hanging="180"/>
              <w:jc w:val="left"/>
              <w:rPr/>
            </w:pPr>
            <w:r>
              <w:rPr/>
              <w:t>)</w:t>
            </w:r>
          </w:p>
        </w:tc>
      </w:tr>
      <w:tr>
        <w:trPr/>
        <w:tc>
          <w:tcPr>
            <w:tcW w:w="7878"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(1,146</w:t>
            </w:r>
          </w:p>
        </w:tc>
        <w:tc>
          <w:tcPr>
            <w:tcW w:w="82" w:type="dxa"/>
            <w:tcBorders/>
            <w:shd w:fill="CCEEFF" w:val="clear"/>
            <w:vAlign w:val="center"/>
          </w:tcPr>
          <w:p>
            <w:pPr>
              <w:pStyle w:val="TableContents"/>
              <w:bidi w:val="0"/>
              <w:spacing w:before="0" w:after="283"/>
              <w:ind w:left="0" w:right="0" w:hanging="180"/>
              <w:jc w:val="left"/>
              <w:rPr/>
            </w:pPr>
            <w:r>
              <w:rPr/>
              <w:t>)</w:t>
            </w:r>
          </w:p>
        </w:tc>
      </w:tr>
      <w:tr>
        <w:trPr/>
        <w:tc>
          <w:tcPr>
            <w:tcW w:w="7878" w:type="dxa"/>
            <w:tcBorders/>
            <w:shd w:fill="FFFFFF" w:val="clear"/>
            <w:vAlign w:val="center"/>
          </w:tcPr>
          <w:p>
            <w:pPr>
              <w:pStyle w:val="TableContents"/>
              <w:bidi w:val="0"/>
              <w:spacing w:before="0" w:after="283"/>
              <w:jc w:val="left"/>
              <w:rPr>
                <w:b/>
              </w:rPr>
            </w:pPr>
            <w:r>
              <w:rPr>
                <w:b/>
              </w:rPr>
              <w:t>Total SUNCAR TECHNOLOGY GROUP INC’s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32,550</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54,342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58,132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7878"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66,234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90,682</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787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246,728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253,196</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85"/>
        <w:gridCol w:w="60"/>
        <w:gridCol w:w="140"/>
        <w:gridCol w:w="1100"/>
        <w:gridCol w:w="95"/>
        <w:gridCol w:w="60"/>
        <w:gridCol w:w="140"/>
        <w:gridCol w:w="1100"/>
        <w:gridCol w:w="95"/>
        <w:gridCol w:w="60"/>
        <w:gridCol w:w="140"/>
        <w:gridCol w:w="1220"/>
        <w:gridCol w:w="110"/>
      </w:tblGrid>
      <w:tr>
        <w:trPr/>
        <w:tc>
          <w:tcPr>
            <w:tcW w:w="588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41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10" w:type="dxa"/>
            <w:tcBorders/>
            <w:vAlign w:val="center"/>
          </w:tcPr>
          <w:p>
            <w:pPr>
              <w:pStyle w:val="TableContents"/>
              <w:bidi w:val="0"/>
              <w:spacing w:before="0" w:after="283"/>
              <w:ind w:left="0" w:right="0" w:hanging="180"/>
              <w:jc w:val="left"/>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885"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Auto eInsurance service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170,549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212,568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Technology service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53,619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Auto service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214,979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226,456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223,104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363,746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441,897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489,291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Operating cost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Integrated service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(209,553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(226,172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(241,510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885" w:type="dxa"/>
            <w:tcBorders/>
            <w:shd w:fill="FFFFFF" w:val="clear"/>
            <w:vAlign w:val="center"/>
          </w:tcPr>
          <w:p>
            <w:pPr>
              <w:pStyle w:val="TableContents"/>
              <w:bidi w:val="0"/>
              <w:spacing w:before="0" w:after="283"/>
              <w:jc w:val="left"/>
              <w:rPr/>
            </w:pPr>
            <w:r>
              <w:rPr/>
              <w:t>Promotional service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(164,262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(197,045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885" w:type="dxa"/>
            <w:tcBorders/>
            <w:shd w:fill="CCEEFF" w:val="clear"/>
            <w:vAlign w:val="center"/>
          </w:tcPr>
          <w:p>
            <w:pPr>
              <w:pStyle w:val="TableContents"/>
              <w:bidi w:val="0"/>
              <w:spacing w:before="0" w:after="283"/>
              <w:jc w:val="left"/>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(18,900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885"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(18,990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88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(8,961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885" w:type="dxa"/>
            <w:tcBorders/>
            <w:shd w:fill="FFFFFF" w:val="clear"/>
            <w:vAlign w:val="center"/>
          </w:tcPr>
          <w:p>
            <w:pPr>
              <w:pStyle w:val="TableContents"/>
              <w:bidi w:val="0"/>
              <w:spacing w:before="0" w:after="283"/>
              <w:jc w:val="left"/>
              <w:rPr>
                <w:b/>
              </w:rPr>
            </w:pPr>
            <w:r>
              <w:rPr>
                <w:b/>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(379,208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(500,260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(485,406</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5885" w:type="dxa"/>
            <w:tcBorders/>
            <w:shd w:fill="CCEEFF" w:val="clear"/>
            <w:vAlign w:val="center"/>
          </w:tcPr>
          <w:p>
            <w:pPr>
              <w:pStyle w:val="TableContents"/>
              <w:bidi w:val="0"/>
              <w:spacing w:before="0" w:after="283"/>
              <w:jc w:val="left"/>
              <w:rPr>
                <w:b/>
              </w:rPr>
            </w:pPr>
            <w:r>
              <w:rPr>
                <w:b/>
              </w:rPr>
              <w:t>Operating (loss)/income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(15,462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(58,363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3,885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Other income/(expenses)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Financial 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(4,239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885" w:type="dxa"/>
            <w:tcBorders/>
            <w:shd w:fill="CCEEFF" w:val="clear"/>
            <w:vAlign w:val="center"/>
          </w:tcPr>
          <w:p>
            <w:pPr>
              <w:pStyle w:val="TableContents"/>
              <w:bidi w:val="0"/>
              <w:spacing w:before="0" w:after="283"/>
              <w:jc w:val="left"/>
              <w:rPr/>
            </w:pPr>
            <w:r>
              <w:rPr/>
              <w:t>Investment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Change of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897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Other income/(loss),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(2,748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885" w:type="dxa"/>
            <w:tcBorders/>
            <w:shd w:fill="FFFFFF" w:val="clear"/>
            <w:vAlign w:val="center"/>
          </w:tcPr>
          <w:p>
            <w:pPr>
              <w:pStyle w:val="TableContents"/>
              <w:bidi w:val="0"/>
              <w:spacing w:before="0" w:after="283"/>
              <w:jc w:val="left"/>
              <w:rPr>
                <w:b/>
              </w:rPr>
            </w:pPr>
            <w:r>
              <w:rPr>
                <w:b/>
              </w:rPr>
              <w:t>Total other income/(expenses),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(3,237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(5,938</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(61,600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(2,053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88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(346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88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(17,579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(64,453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(2,399</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Less: 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1,543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b/>
              </w:rPr>
            </w:pPr>
            <w:r>
              <w:rPr>
                <w:b/>
              </w:rPr>
              <w:t>Net loss attributable to the Company’s ordinary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(26,912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(68,663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(3,942</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Net loss attributable to the Company’s ordinary shareholders per ordinary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Weighted average shares outstanding used in calculating basic and diluted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85,441,057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95,996,861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102,081,873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Other comprehensive (loss)/income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Foreign currency translation difference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2,818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b/>
              </w:rPr>
            </w:pPr>
            <w:r>
              <w:rPr>
                <w:b/>
              </w:rPr>
              <w:t>Total other comprehensive (loss)/income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(1,137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(1,524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2,818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b/>
              </w:rPr>
            </w:pPr>
            <w:r>
              <w:rPr>
                <w:b/>
              </w:rPr>
              <w:t>Total comprehensive (loss)/income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(18,716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(65,977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419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Less: total 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4,075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b/>
              </w:rPr>
            </w:pPr>
            <w:r>
              <w:rPr>
                <w:b/>
              </w:rPr>
              <w:t>Total comprehensive loss attributable to the SUNCAR TECHNOLOGY GROUP INC’s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(26,803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(68,728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(3,656</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 w:right="0" w:hanging="0"/>
        <w:jc w:val="center"/>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9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SUNCAR TECHNOLOGY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thousands, except for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02"/>
        <w:gridCol w:w="60"/>
        <w:gridCol w:w="146"/>
        <w:gridCol w:w="839"/>
        <w:gridCol w:w="99"/>
        <w:gridCol w:w="62"/>
        <w:gridCol w:w="146"/>
        <w:gridCol w:w="918"/>
        <w:gridCol w:w="99"/>
        <w:gridCol w:w="62"/>
        <w:gridCol w:w="146"/>
        <w:gridCol w:w="918"/>
        <w:gridCol w:w="108"/>
      </w:tblGrid>
      <w:tr>
        <w:trPr/>
        <w:tc>
          <w:tcPr>
            <w:tcW w:w="660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34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08" w:type="dxa"/>
            <w:tcBorders/>
            <w:vAlign w:val="center"/>
          </w:tcPr>
          <w:p>
            <w:pPr>
              <w:pStyle w:val="TableContents"/>
              <w:bidi w:val="0"/>
              <w:spacing w:before="0" w:after="283"/>
              <w:ind w:left="0" w:right="0" w:hanging="180"/>
              <w:jc w:val="left"/>
              <w:rPr/>
            </w:pPr>
            <w:r>
              <w:rPr/>
              <w:t> </w:t>
            </w:r>
          </w:p>
        </w:tc>
      </w:tr>
      <w:tr>
        <w:trPr/>
        <w:tc>
          <w:tcPr>
            <w:tcW w:w="66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ind w:left="0" w:right="0" w:hanging="180"/>
              <w:jc w:val="left"/>
              <w:rPr/>
            </w:pPr>
            <w:r>
              <w:rPr/>
              <w:t> </w:t>
            </w:r>
          </w:p>
        </w:tc>
      </w:tr>
      <w:tr>
        <w:trPr/>
        <w:tc>
          <w:tcPr>
            <w:tcW w:w="6602"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85"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4"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(17,579</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(64,453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(2,399</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602" w:type="dxa"/>
            <w:tcBorders/>
            <w:shd w:fill="FFFFFF" w:val="clear"/>
            <w:vAlign w:val="center"/>
          </w:tcPr>
          <w:p>
            <w:pPr>
              <w:pStyle w:val="TableContents"/>
              <w:bidi w:val="0"/>
              <w:spacing w:before="0" w:after="283"/>
              <w:jc w:val="left"/>
              <w:rPr>
                <w:i/>
              </w:rPr>
            </w:pPr>
            <w:r>
              <w:rPr>
                <w:i/>
              </w:rPr>
              <w:t>Adjustments to reconcile net loss to 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(Reversal)/provision for credit losses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(4,112</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1,314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3,695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4,114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4,503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6,095</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754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775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839</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Share-based compensation of subsidiary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1,519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1,495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998</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Share-based compensation of the Group</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9,776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62,040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(Gain)/Loss on disposal of property, software and equipment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(27</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108</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Deferred income tax expense/(benefit)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701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1,235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(1,007</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602" w:type="dxa"/>
            <w:tcBorders/>
            <w:shd w:fill="FFFFFF" w:val="clear"/>
            <w:vAlign w:val="center"/>
          </w:tcPr>
          <w:p>
            <w:pPr>
              <w:pStyle w:val="TableContents"/>
              <w:bidi w:val="0"/>
              <w:spacing w:before="0" w:after="283"/>
              <w:jc w:val="left"/>
              <w:rPr/>
            </w:pPr>
            <w:r>
              <w:rPr/>
              <w:t>Fair value changes of warrant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629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286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(897</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pPr>
            <w:r>
              <w:rPr/>
              <w:t>Financing expense related to issuance of GEM 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377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607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606</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Accrued liability for GEM litigation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3,100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30,822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(22,710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14,936</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(55,908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(6,740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(8,601</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60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3,140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31,345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(17,412</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(418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(554</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3,117</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(288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1,437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3,286</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(621</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46</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(680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(691</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(793</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pPr>
            <w:r>
              <w:rPr/>
              <w:t>150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1,913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b/>
              </w:rPr>
            </w:pPr>
            <w:r>
              <w:rPr>
                <w:b/>
              </w:rPr>
              <w:t>Total 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(27,651</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11,841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5,717</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Purchase of property, software and equipment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(4,928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(588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(380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602" w:type="dxa"/>
            <w:tcBorders/>
            <w:shd w:fill="FFFFFF" w:val="clear"/>
            <w:vAlign w:val="center"/>
          </w:tcPr>
          <w:p>
            <w:pPr>
              <w:pStyle w:val="TableContents"/>
              <w:bidi w:val="0"/>
              <w:spacing w:before="0" w:after="283"/>
              <w:jc w:val="left"/>
              <w:rPr/>
            </w:pPr>
            <w:r>
              <w:rPr/>
              <w:t>Proceeds from disposal of property, software and equipment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54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3</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Payment for acquisition of an insurance license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(236</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602" w:type="dxa"/>
            <w:tcBorders/>
            <w:shd w:fill="FFFFFF" w:val="clear"/>
            <w:vAlign w:val="center"/>
          </w:tcPr>
          <w:p>
            <w:pPr>
              <w:pStyle w:val="TableContents"/>
              <w:bidi w:val="0"/>
              <w:spacing w:before="0" w:after="283"/>
              <w:jc w:val="left"/>
              <w:rPr/>
            </w:pPr>
            <w:r>
              <w:rPr/>
              <w:t>Purchase of short-term investment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(518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(21,636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(451</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pPr>
            <w:r>
              <w:rPr/>
              <w:t>Proceeds from the redemption of short-term investment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4,719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21,657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750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Payment of securities margin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(4,029</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pPr>
            <w:r>
              <w:rPr/>
              <w:t>Purchase of other non-current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pPr>
            <w:r>
              <w:rPr/>
              <w:t>(1,721</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(11,623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(8,560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602" w:type="dxa"/>
            <w:tcBorders/>
            <w:shd w:fill="FFFFFF" w:val="clear"/>
            <w:vAlign w:val="center"/>
          </w:tcPr>
          <w:p>
            <w:pPr>
              <w:pStyle w:val="TableContents"/>
              <w:bidi w:val="0"/>
              <w:spacing w:before="0" w:after="283"/>
              <w:jc w:val="left"/>
              <w:rPr>
                <w:b/>
              </w:rPr>
            </w:pPr>
            <w:r>
              <w:rPr>
                <w:b/>
              </w:rPr>
              <w:t>Total 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(2,394</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(12,147</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(12,903</w:t>
            </w:r>
          </w:p>
        </w:tc>
        <w:tc>
          <w:tcPr>
            <w:tcW w:w="108" w:type="dxa"/>
            <w:tcBorders/>
            <w:shd w:fill="FFFFFF" w:val="clear"/>
            <w:vAlign w:val="center"/>
          </w:tcPr>
          <w:p>
            <w:pPr>
              <w:pStyle w:val="TableContents"/>
              <w:bidi w:val="0"/>
              <w:spacing w:before="0" w:after="283"/>
              <w:ind w:left="0" w:right="0" w:hanging="180"/>
              <w:jc w:val="left"/>
              <w:rPr>
                <w:b/>
              </w:rPr>
            </w:pPr>
            <w:r>
              <w:rPr>
                <w:b/>
              </w:rPr>
              <w:t>)</w:t>
            </w:r>
          </w:p>
        </w:tc>
      </w:tr>
      <w:tr>
        <w:trPr/>
        <w:tc>
          <w:tcPr>
            <w:tcW w:w="66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Proceeds from short-term borrowings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104,506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105,870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104,625</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Repayments of short-term borrowings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(93,970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(102,993</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(111,304</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pPr>
            <w:r>
              <w:rPr/>
              <w:t>Proceeds from long-term borrowing</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1,430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Payment for GEM litigation</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(1,550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pPr>
            <w:r>
              <w:rPr/>
              <w:t>Repayments of payables to a related party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(10,000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(1,699</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(11,553</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602" w:type="dxa"/>
            <w:tcBorders/>
            <w:shd w:fill="FFFFFF" w:val="clear"/>
            <w:vAlign w:val="center"/>
          </w:tcPr>
          <w:p>
            <w:pPr>
              <w:pStyle w:val="TableContents"/>
              <w:bidi w:val="0"/>
              <w:spacing w:before="0" w:after="283"/>
              <w:jc w:val="left"/>
              <w:rPr/>
            </w:pPr>
            <w:r>
              <w:rPr/>
              <w:t>Proceeds from issuance of ordinary shares, net of issuance cost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18,468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41,631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Cash required on reverse recapitalization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68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Proceeds from Private Placement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21,737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Payment for offering cost related to Business Combination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(588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Shares repurchase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(2,000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(15,760</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2,213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Repurchase of non-controlling interests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(4,129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(3,151</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602" w:type="dxa"/>
            <w:tcBorders/>
            <w:shd w:fill="CCEEFF" w:val="clear"/>
            <w:vAlign w:val="center"/>
          </w:tcPr>
          <w:p>
            <w:pPr>
              <w:pStyle w:val="TableContents"/>
              <w:bidi w:val="0"/>
              <w:spacing w:before="0" w:after="283"/>
              <w:jc w:val="left"/>
              <w:rPr>
                <w:b/>
              </w:rPr>
            </w:pPr>
            <w:r>
              <w:rPr>
                <w:b/>
              </w:rPr>
              <w:t>Total 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40,434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(2,951</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4,368</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Effect of exchange rate changes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pPr>
            <w:r>
              <w:rPr/>
              <w:t>(711</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(826</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1,166</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Net change in cash and restricted cash</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9,678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(4,083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(1,652</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b/>
              </w:rPr>
            </w:pPr>
            <w:r>
              <w:rPr>
                <w:b/>
              </w:rPr>
              <w:t>Cash and restricted cash, beginning of the year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23,917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33,595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29,512</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b/>
              </w:rPr>
            </w:pPr>
            <w:r>
              <w:rPr>
                <w:b/>
              </w:rPr>
              <w:t>Cash and restricted cash, end of the year</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3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33,595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29,512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27,860</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b/>
              </w:rPr>
            </w:pPr>
            <w:r>
              <w:rPr>
                <w:b/>
              </w:rPr>
              <w:t>Reconciliation of cash and restricted cash to the consolidated balance sheets: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30,854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26,865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25,019</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single" w:sz="12" w:space="0" w:color="000000"/>
            </w:tcBorders>
            <w:shd w:fill="FFFFFF" w:val="clear"/>
            <w:tcMar>
              <w:bottom w:w="28" w:type="dxa"/>
            </w:tcMar>
            <w:vAlign w:val="center"/>
          </w:tcPr>
          <w:p>
            <w:pPr>
              <w:pStyle w:val="TableContents"/>
              <w:bidi w:val="0"/>
              <w:spacing w:before="0" w:after="283"/>
              <w:jc w:val="right"/>
              <w:rPr/>
            </w:pPr>
            <w:r>
              <w:rPr/>
              <w:t>2,741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2,647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2,841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b/>
              </w:rPr>
            </w:pPr>
            <w:r>
              <w:rPr>
                <w:b/>
              </w:rPr>
              <w:t>Total cash and restricted cash</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33,595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29,512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27,860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Income tax paid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839" w:type="dxa"/>
            <w:tcBorders/>
            <w:shd w:fill="FFFFFF" w:val="clear"/>
            <w:vAlign w:val="center"/>
          </w:tcPr>
          <w:p>
            <w:pPr>
              <w:pStyle w:val="TableContents"/>
              <w:bidi w:val="0"/>
              <w:spacing w:before="0" w:after="283"/>
              <w:jc w:val="right"/>
              <w:rPr/>
            </w:pPr>
            <w:r>
              <w:rPr/>
              <w:t>2,577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1,466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1,307</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Interest expense paid</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3,666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3,669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3,502</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b/>
              </w:rPr>
            </w:pPr>
            <w:r>
              <w:rPr>
                <w:b/>
              </w:rPr>
              <w:t>Supplemental disclosures of non-cash flow information: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Decrease of accrued expenses and other current liabilities due to vest of restricted shares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839" w:type="dxa"/>
            <w:tcBorders/>
            <w:shd w:fill="FFFFFF" w:val="clear"/>
            <w:vAlign w:val="center"/>
          </w:tcPr>
          <w:p>
            <w:pPr>
              <w:pStyle w:val="TableContents"/>
              <w:bidi w:val="0"/>
              <w:spacing w:before="0" w:after="283"/>
              <w:jc w:val="right"/>
              <w:rPr/>
            </w:pPr>
            <w:r>
              <w:rPr/>
              <w:t>311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311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311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Property, software and equipment transferred from other non-current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3,728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9,877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Obtaining right-of-use assets in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839" w:type="dxa"/>
            <w:tcBorders/>
            <w:shd w:fill="FFFFFF" w:val="clear"/>
            <w:vAlign w:val="center"/>
          </w:tcPr>
          <w:p>
            <w:pPr>
              <w:pStyle w:val="TableContents"/>
              <w:bidi w:val="0"/>
              <w:spacing w:before="0" w:after="283"/>
              <w:jc w:val="right"/>
              <w:rPr/>
            </w:pPr>
            <w:r>
              <w:rPr/>
              <w:t>1,702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103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2,328</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602" w:type="dxa"/>
            <w:tcBorders/>
            <w:shd w:fill="CCEEFF" w:val="clear"/>
            <w:vAlign w:val="center"/>
          </w:tcPr>
          <w:p>
            <w:pPr>
              <w:pStyle w:val="TableContents"/>
              <w:bidi w:val="0"/>
              <w:spacing w:before="0" w:after="283"/>
              <w:jc w:val="left"/>
              <w:rPr/>
            </w:pPr>
            <w:r>
              <w:rPr/>
              <w:t>Prepaid financing expense related to issuance of GEM 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1,442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835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8" w:type="dxa"/>
            <w:tcBorders/>
            <w:shd w:fill="CCEEFF" w:val="clear"/>
            <w:vAlign w:val="center"/>
          </w:tcPr>
          <w:p>
            <w:pPr>
              <w:pStyle w:val="TableContents"/>
              <w:bidi w:val="0"/>
              <w:spacing w:before="0" w:after="283"/>
              <w:jc w:val="right"/>
              <w:rPr/>
            </w:pPr>
            <w:r>
              <w:rPr/>
              <w:t>229</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602" w:type="dxa"/>
            <w:tcBorders/>
            <w:shd w:fill="FFFFFF" w:val="clear"/>
            <w:vAlign w:val="center"/>
          </w:tcPr>
          <w:p>
            <w:pPr>
              <w:pStyle w:val="TableContents"/>
              <w:bidi w:val="0"/>
              <w:spacing w:before="0" w:after="283"/>
              <w:jc w:val="left"/>
              <w:rPr/>
            </w:pPr>
            <w:r>
              <w:rPr/>
              <w:t>Repayments of payables to a related party (Note 19)</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839"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4,504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918"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SunCar Technology Group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to Adjusted EBITDA Reconciliation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ind w:left="0" w:right="0" w:hanging="0"/>
        <w:jc w:val="center"/>
        <w:rPr>
          <w:caps w:val="false"/>
          <w:smallCaps w:val="false"/>
        </w:rPr>
      </w:pPr>
      <w:r>
        <w:rPr>
          <w:caps w:val="false"/>
          <w:smallCaps w:val="false"/>
        </w:rPr>
        <w:t> </w:t>
      </w:r>
    </w:p>
    <w:tbl>
      <w:tblPr>
        <w:tblW w:w="7886" w:type="dxa"/>
        <w:jc w:val="left"/>
        <w:tblInd w:w="0" w:type="dxa"/>
        <w:tblLayout w:type="fixed"/>
        <w:tblCellMar>
          <w:top w:w="0" w:type="dxa"/>
          <w:left w:w="0" w:type="dxa"/>
          <w:bottom w:w="0" w:type="dxa"/>
          <w:right w:w="0" w:type="dxa"/>
        </w:tblCellMar>
      </w:tblPr>
      <w:tblGrid>
        <w:gridCol w:w="4055"/>
        <w:gridCol w:w="60"/>
        <w:gridCol w:w="150"/>
        <w:gridCol w:w="813"/>
        <w:gridCol w:w="280"/>
        <w:gridCol w:w="64"/>
        <w:gridCol w:w="150"/>
        <w:gridCol w:w="813"/>
        <w:gridCol w:w="280"/>
        <w:gridCol w:w="64"/>
        <w:gridCol w:w="150"/>
        <w:gridCol w:w="732"/>
        <w:gridCol w:w="27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2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8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8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6" w:type="dxa"/>
            <w:gridSpan w:val="10"/>
            <w:tcBorders/>
            <w:vAlign w:val="center"/>
          </w:tcPr>
          <w:p>
            <w:pPr>
              <w:pStyle w:val="TableContents"/>
              <w:bidi w:val="0"/>
              <w:spacing w:before="0" w:after="283"/>
              <w:jc w:val="center"/>
              <w:rPr>
                <w:b/>
              </w:rPr>
            </w:pPr>
            <w:r>
              <w:rPr>
                <w:b/>
              </w:rPr>
              <w:t>(In thousands)</w:t>
            </w:r>
          </w:p>
        </w:tc>
        <w:tc>
          <w:tcPr>
            <w:tcW w:w="2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(17,579</w:t>
            </w:r>
          </w:p>
        </w:tc>
        <w:tc>
          <w:tcPr>
            <w:tcW w:w="280"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(64,453</w:t>
            </w:r>
          </w:p>
        </w:tc>
        <w:tc>
          <w:tcPr>
            <w:tcW w:w="280"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2" w:type="dxa"/>
            <w:tcBorders/>
            <w:shd w:fill="CCEEFF" w:val="clear"/>
            <w:vAlign w:val="center"/>
          </w:tcPr>
          <w:p>
            <w:pPr>
              <w:pStyle w:val="TableContents"/>
              <w:bidi w:val="0"/>
              <w:spacing w:before="0" w:after="283"/>
              <w:jc w:val="right"/>
              <w:rPr/>
            </w:pPr>
            <w:r>
              <w:rPr/>
              <w:t>(2,399</w:t>
            </w:r>
          </w:p>
        </w:tc>
        <w:tc>
          <w:tcPr>
            <w:tcW w:w="275"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4,114</w:t>
            </w:r>
          </w:p>
        </w:tc>
        <w:tc>
          <w:tcPr>
            <w:tcW w:w="2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4,503</w:t>
            </w:r>
          </w:p>
        </w:tc>
        <w:tc>
          <w:tcPr>
            <w:tcW w:w="2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6,095</w:t>
            </w:r>
          </w:p>
        </w:tc>
        <w:tc>
          <w:tcPr>
            <w:tcW w:w="2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Financial expenses,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4,435</w:t>
            </w:r>
          </w:p>
        </w:tc>
        <w:tc>
          <w:tcPr>
            <w:tcW w:w="2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4,529</w:t>
            </w:r>
          </w:p>
        </w:tc>
        <w:tc>
          <w:tcPr>
            <w:tcW w:w="2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4,239</w:t>
            </w:r>
          </w:p>
        </w:tc>
        <w:tc>
          <w:tcPr>
            <w:tcW w:w="2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Investment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(518</w:t>
            </w:r>
          </w:p>
        </w:tc>
        <w:tc>
          <w:tcPr>
            <w:tcW w:w="280"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(784</w:t>
            </w:r>
          </w:p>
        </w:tc>
        <w:tc>
          <w:tcPr>
            <w:tcW w:w="280"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(152</w:t>
            </w:r>
          </w:p>
        </w:tc>
        <w:tc>
          <w:tcPr>
            <w:tcW w:w="275"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left"/>
              <w:rPr/>
            </w:pPr>
            <w:r>
              <w:rPr/>
              <w:t>Change of fair value of warrant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629</w:t>
            </w:r>
          </w:p>
        </w:tc>
        <w:tc>
          <w:tcPr>
            <w:tcW w:w="2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286</w:t>
            </w:r>
          </w:p>
        </w:tc>
        <w:tc>
          <w:tcPr>
            <w:tcW w:w="2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(897</w:t>
            </w:r>
          </w:p>
        </w:tc>
        <w:tc>
          <w:tcPr>
            <w:tcW w:w="275"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Other non-recurring (income) expense,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(5,001</w:t>
            </w:r>
          </w:p>
        </w:tc>
        <w:tc>
          <w:tcPr>
            <w:tcW w:w="280"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(794</w:t>
            </w:r>
          </w:p>
        </w:tc>
        <w:tc>
          <w:tcPr>
            <w:tcW w:w="280"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2,748</w:t>
            </w:r>
          </w:p>
        </w:tc>
        <w:tc>
          <w:tcPr>
            <w:tcW w:w="2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2,572</w:t>
            </w:r>
          </w:p>
        </w:tc>
        <w:tc>
          <w:tcPr>
            <w:tcW w:w="2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2,853</w:t>
            </w:r>
          </w:p>
        </w:tc>
        <w:tc>
          <w:tcPr>
            <w:tcW w:w="2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pPr>
            <w:r>
              <w:rPr/>
              <w:t>346</w:t>
            </w:r>
          </w:p>
        </w:tc>
        <w:tc>
          <w:tcPr>
            <w:tcW w:w="2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11,295</w:t>
            </w:r>
          </w:p>
        </w:tc>
        <w:tc>
          <w:tcPr>
            <w:tcW w:w="2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63,535</w:t>
            </w:r>
          </w:p>
        </w:tc>
        <w:tc>
          <w:tcPr>
            <w:tcW w:w="2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998</w:t>
            </w:r>
          </w:p>
        </w:tc>
        <w:tc>
          <w:tcPr>
            <w:tcW w:w="2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Transaction fees (2)</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1,702</w:t>
            </w:r>
          </w:p>
        </w:tc>
        <w:tc>
          <w:tcPr>
            <w:tcW w:w="2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center"/>
          </w:tcPr>
          <w:p>
            <w:pPr>
              <w:pStyle w:val="TableContents"/>
              <w:bidi w:val="0"/>
              <w:spacing w:before="0" w:after="283"/>
              <w:jc w:val="right"/>
              <w:rPr/>
            </w:pPr>
            <w:r>
              <w:rPr/>
              <w:t>79</w:t>
            </w:r>
          </w:p>
        </w:tc>
        <w:tc>
          <w:tcPr>
            <w:tcW w:w="28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1,649</w:t>
            </w:r>
          </w:p>
        </w:tc>
        <w:tc>
          <w:tcPr>
            <w:tcW w:w="2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1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9,754</w:t>
            </w:r>
          </w:p>
        </w:tc>
        <w:tc>
          <w:tcPr>
            <w:tcW w:w="28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10,993</w:t>
            </w:r>
          </w:p>
        </w:tc>
        <w:tc>
          <w:tcPr>
            <w:tcW w:w="2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b/>
              </w:rPr>
            </w:pPr>
            <w:r>
              <w:rPr>
                <w:b/>
              </w:rPr>
              <w:t>Net loss Margin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b/>
              </w:rPr>
            </w:pPr>
            <w:r>
              <w:rPr>
                <w:b/>
              </w:rPr>
              <w:t>-4.8</w:t>
            </w:r>
          </w:p>
        </w:tc>
        <w:tc>
          <w:tcPr>
            <w:tcW w:w="280"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b/>
              </w:rPr>
            </w:pPr>
            <w:r>
              <w:rPr>
                <w:b/>
              </w:rPr>
              <w:t>-14.6</w:t>
            </w:r>
          </w:p>
        </w:tc>
        <w:tc>
          <w:tcPr>
            <w:tcW w:w="280"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b/>
              </w:rPr>
            </w:pPr>
            <w:r>
              <w:rPr>
                <w:b/>
              </w:rPr>
              <w:t>-0.5</w:t>
            </w:r>
          </w:p>
        </w:tc>
        <w:tc>
          <w:tcPr>
            <w:tcW w:w="275" w:type="dxa"/>
            <w:tcBorders/>
            <w:shd w:fill="CCEEFF" w:val="clear"/>
            <w:vAlign w:val="center"/>
          </w:tcPr>
          <w:p>
            <w:pPr>
              <w:pStyle w:val="TableContents"/>
              <w:bidi w:val="0"/>
              <w:spacing w:before="0" w:after="283"/>
              <w:jc w:val="left"/>
              <w:rPr>
                <w:b/>
              </w:rPr>
            </w:pPr>
            <w:r>
              <w:rPr>
                <w:b/>
              </w:rPr>
              <w:t>%</w:t>
            </w:r>
          </w:p>
        </w:tc>
      </w:tr>
      <w:tr>
        <w:trPr/>
        <w:tc>
          <w:tcPr>
            <w:tcW w:w="4055" w:type="dxa"/>
            <w:tcBorders/>
            <w:shd w:fill="FFFFFF" w:val="clear"/>
            <w:vAlign w:val="center"/>
          </w:tcPr>
          <w:p>
            <w:pPr>
              <w:pStyle w:val="TableContents"/>
              <w:bidi w:val="0"/>
              <w:spacing w:before="0" w:after="283"/>
              <w:jc w:val="left"/>
              <w:rPr>
                <w:b/>
              </w:rPr>
            </w:pPr>
            <w:r>
              <w:rPr>
                <w:b/>
              </w:rPr>
              <w:t>Adjusted EBITDA Margin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b/>
              </w:rPr>
            </w:pPr>
            <w:r>
              <w:rPr>
                <w:b/>
              </w:rPr>
              <w:t>0.5</w:t>
            </w:r>
          </w:p>
        </w:tc>
        <w:tc>
          <w:tcPr>
            <w:tcW w:w="280"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b/>
              </w:rPr>
            </w:pPr>
            <w:r>
              <w:rPr>
                <w:b/>
              </w:rPr>
              <w:t>2.2</w:t>
            </w:r>
          </w:p>
        </w:tc>
        <w:tc>
          <w:tcPr>
            <w:tcW w:w="280"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b/>
              </w:rPr>
            </w:pPr>
            <w:r>
              <w:rPr>
                <w:b/>
              </w:rPr>
              <w:t>2.2</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3360</Words>
  <Characters>18580</Characters>
  <CharactersWithSpaces>22576</CharactersWithSpaces>
  <Paragraphs>2440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