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252-6k_suncar.htm"/>
      <w:bookmarkStart w:id="1" w:name="ksea03062526k_sunca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OF THE</w:t>
        <w:br/>
        <w:t xml:space="preserve">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SunCar Technology Group Inc.</w:t>
        <w:br/>
      </w: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Shanghai Feiyou Trading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209, No. 656 Lingshi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Jing’an District, Shanghai, 200072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138-1779-6110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Technology Group Inc., a Cayman Islands exempted company,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furnishes under the cover of Form 6-K the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 and Chief Financial Officer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16, 2026, Mr. Bohong Du, the Chief Financial Officer and a director of the Company, resigned from all his positions with the Company above referenced.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Bohong Du’s resignation was due to personal reasons and was not a result of any disagreements with the Company on any matter relating to its operations, policies, or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New Chief Financial Officer and Change in Director Status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18, 2026, the Company appointed Mr. Eric H. Zhang (“</w:t>
      </w:r>
      <w:r>
        <w:rPr>
          <w:rFonts w:ascii="Times New Roman;Times;Serif" w:hAnsi="Times New Roman;Times;Serif"/>
          <w:b w:val="false"/>
          <w:i w:val="false"/>
          <w:caps w:val="false"/>
          <w:smallCaps w:val="false"/>
          <w:sz w:val="20"/>
          <w:u w:val="single"/>
        </w:rPr>
        <w:t>Mr. Zhang</w:t>
      </w:r>
      <w:r>
        <w:rPr>
          <w:rFonts w:ascii="Times New Roman;Times;Serif" w:hAnsi="Times New Roman;Times;Serif"/>
          <w:b w:val="false"/>
          <w:i w:val="false"/>
          <w:caps w:val="false"/>
          <w:smallCaps w:val="false"/>
          <w:sz w:val="20"/>
        </w:rPr>
        <w:t>”), as the Chief Financial Officer of the Company. In connection with his appointment as the Chief Financial Officer, Mr. Zhang ceased to serve as an independent director of the Company but will continue to serve as a director of the Company in a non-independent capacity.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same date, Mr. Eric H. Zhang ceased to serve as a member of the Audit Committee, Chair of the Compensation Committee and Chair and member of the Nominating and Corporate Governance Committee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New Independent Director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18, 2026, the Company appointed Mr. Xuefeng Qian (“</w:t>
      </w:r>
      <w:r>
        <w:rPr>
          <w:rFonts w:ascii="Times New Roman;Times;Serif" w:hAnsi="Times New Roman;Times;Serif"/>
          <w:b w:val="false"/>
          <w:i w:val="false"/>
          <w:caps w:val="false"/>
          <w:smallCaps w:val="false"/>
          <w:sz w:val="20"/>
          <w:u w:val="single"/>
        </w:rPr>
        <w:t>Mr. Qian</w:t>
      </w:r>
      <w:r>
        <w:rPr>
          <w:rFonts w:ascii="Times New Roman;Times;Serif" w:hAnsi="Times New Roman;Times;Serif"/>
          <w:b w:val="false"/>
          <w:i w:val="false"/>
          <w:caps w:val="false"/>
          <w:smallCaps w:val="false"/>
          <w:sz w:val="20"/>
        </w:rPr>
        <w:t>”) as an independent director of the Company. Mr. Qian was also appointed as a member of the Audit Committee and as Chair of each of the Compensation Committee and the Nominating and Corporate Governance Committee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Qian, age 63, is the Chairman and founder of New Access Capital, which he established in 2003 and currently manages seven RMB funds. Since 2010, he has served as Chairman and General Manager of Shanghai Hanli Equity Investment Management Co., Ltd. and, since 2011, as Executive Director of Shanghai Hanli Qiongjing Investment Management Co., Ltd. Since 2024, Mr. Qian has also served as an independent director of Shanghai Bailian Group Co., Ltd. and, since 2014, has served as an independent director of Shanghai Ehai Car Rental Co., Ltd. Mr. Qian has received a number of industry recognitions for his work in private equity and venture capital, including honors as a leading young investor and venture investor in China. Mr. Qian received a Juris Doctor degree from Yale Law School, a master’s degree in political science from the University of California, Los Angeles, and an LL.B. degree from China Foreign Affairs University. He also attended the 24th EMBA Program of Cheung Kong Graduate School of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Qian shall receive a total annual compensation in the amount of RMB120,000.00 (approximately USD17,700.00) in cash.</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Qian and any director or other executive officer of the Company. There are no transactions between Mr. Qian or any member of his immediate families and the Company or any of its subsidiaries that would be reportable as a related party transaction under the rules of the Securities and Exchange Commission. Further, there is no arrangement or understanding between Mr. Qian and any other persons or entities pursuant to which Mr. Qian was appointed to his respective positions at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2135"/>
        <w:gridCol w:w="590"/>
        <w:gridCol w:w="4325"/>
      </w:tblGrid>
      <w:tr>
        <w:trPr/>
        <w:tc>
          <w:tcPr>
            <w:tcW w:w="213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b/>
                <w:sz w:val="20"/>
              </w:rPr>
            </w:pPr>
            <w:r>
              <w:rPr>
                <w:b/>
                <w:sz w:val="20"/>
              </w:rPr>
              <w:t>SunCar Technology Group Inc.</w:t>
            </w:r>
          </w:p>
        </w:tc>
      </w:tr>
      <w:tr>
        <w:trPr/>
        <w:tc>
          <w:tcPr>
            <w:tcW w:w="213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22, 2026</w:t>
            </w:r>
          </w:p>
        </w:tc>
        <w:tc>
          <w:tcPr>
            <w:tcW w:w="590" w:type="dxa"/>
            <w:tcBorders/>
            <w:vAlign w:val="center"/>
          </w:tcPr>
          <w:p>
            <w:pPr>
              <w:pStyle w:val="TableContents"/>
              <w:bidi w:val="0"/>
              <w:spacing w:before="0" w:after="283"/>
              <w:jc w:val="left"/>
              <w:rPr>
                <w:sz w:val="20"/>
              </w:rPr>
            </w:pPr>
            <w:r>
              <w:rPr>
                <w:sz w:val="20"/>
              </w:rPr>
              <w:t>By:</w:t>
            </w:r>
          </w:p>
        </w:tc>
        <w:tc>
          <w:tcPr>
            <w:tcW w:w="43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Zaichang Ye</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4325" w:type="dxa"/>
            <w:tcBorders/>
            <w:vAlign w:val="center"/>
          </w:tcPr>
          <w:p>
            <w:pPr>
              <w:pStyle w:val="TableContents"/>
              <w:bidi w:val="0"/>
              <w:spacing w:before="0" w:after="283"/>
              <w:jc w:val="left"/>
              <w:rPr>
                <w:sz w:val="20"/>
              </w:rPr>
            </w:pPr>
            <w:r>
              <w:rPr>
                <w:sz w:val="20"/>
              </w:rPr>
              <w:t>Zaichang Ye</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both"/>
              <w:rPr>
                <w:sz w:val="20"/>
              </w:rPr>
            </w:pPr>
            <w:r>
              <w:rPr>
                <w:sz w:val="20"/>
              </w:rPr>
              <w:t>Chief Executive Officer (Principal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692</Words>
  <Characters>3635</Characters>
  <CharactersWithSpaces>4333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